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289" w:rsidRPr="005C1289" w:rsidRDefault="005C1289" w:rsidP="005C1289">
      <w:pPr>
        <w:spacing w:after="0" w:line="240" w:lineRule="auto"/>
        <w:jc w:val="both"/>
        <w:rPr>
          <w:rFonts w:ascii="Times New Roman" w:hAnsi="Times New Roman" w:cs="Times New Roman"/>
          <w:b/>
          <w:sz w:val="28"/>
          <w:szCs w:val="28"/>
        </w:rPr>
      </w:pPr>
      <w:r w:rsidRPr="005C1289">
        <w:rPr>
          <w:rFonts w:ascii="Times New Roman" w:hAnsi="Times New Roman" w:cs="Times New Roman"/>
          <w:b/>
          <w:sz w:val="28"/>
          <w:szCs w:val="28"/>
        </w:rPr>
        <w:t>Lesson 10</w:t>
      </w:r>
    </w:p>
    <w:p w:rsidR="005C1289" w:rsidRPr="005C1289" w:rsidRDefault="005C1289" w:rsidP="005C1289">
      <w:pPr>
        <w:spacing w:after="0" w:line="240" w:lineRule="auto"/>
        <w:jc w:val="both"/>
        <w:rPr>
          <w:rFonts w:ascii="Times New Roman" w:hAnsi="Times New Roman" w:cs="Times New Roman"/>
          <w:sz w:val="28"/>
          <w:szCs w:val="28"/>
        </w:rPr>
      </w:pPr>
      <w:r w:rsidRPr="005C1289">
        <w:rPr>
          <w:rFonts w:ascii="Times New Roman" w:hAnsi="Times New Roman" w:cs="Times New Roman"/>
          <w:sz w:val="28"/>
          <w:szCs w:val="28"/>
        </w:rPr>
        <w:t xml:space="preserve">The State Pharmacopoeia (SP) is a collection of general and particular </w:t>
      </w:r>
      <w:proofErr w:type="spellStart"/>
      <w:r w:rsidRPr="005C1289">
        <w:rPr>
          <w:rFonts w:ascii="Times New Roman" w:hAnsi="Times New Roman" w:cs="Times New Roman"/>
          <w:sz w:val="28"/>
          <w:szCs w:val="28"/>
        </w:rPr>
        <w:t>pharmacopoeial</w:t>
      </w:r>
      <w:proofErr w:type="spellEnd"/>
      <w:r w:rsidRPr="005C1289">
        <w:rPr>
          <w:rFonts w:ascii="Times New Roman" w:hAnsi="Times New Roman" w:cs="Times New Roman"/>
          <w:sz w:val="28"/>
          <w:szCs w:val="28"/>
        </w:rPr>
        <w:t xml:space="preserve"> articles that establish quality requirements for medicines, medicinal plant materials, pharmaceutical substances and excipients. The State Pharmacopoeia </w:t>
      </w:r>
      <w:proofErr w:type="gramStart"/>
      <w:r w:rsidRPr="005C1289">
        <w:rPr>
          <w:rFonts w:ascii="Times New Roman" w:hAnsi="Times New Roman" w:cs="Times New Roman"/>
          <w:sz w:val="28"/>
          <w:szCs w:val="28"/>
        </w:rPr>
        <w:t>is based</w:t>
      </w:r>
      <w:proofErr w:type="gramEnd"/>
      <w:r w:rsidRPr="005C1289">
        <w:rPr>
          <w:rFonts w:ascii="Times New Roman" w:hAnsi="Times New Roman" w:cs="Times New Roman"/>
          <w:sz w:val="28"/>
          <w:szCs w:val="28"/>
        </w:rPr>
        <w:t xml:space="preserve"> on general and private </w:t>
      </w:r>
      <w:proofErr w:type="spellStart"/>
      <w:r w:rsidRPr="005C1289">
        <w:rPr>
          <w:rFonts w:ascii="Times New Roman" w:hAnsi="Times New Roman" w:cs="Times New Roman"/>
          <w:sz w:val="28"/>
          <w:szCs w:val="28"/>
        </w:rPr>
        <w:t>pharmacopoeial</w:t>
      </w:r>
      <w:proofErr w:type="spellEnd"/>
      <w:r w:rsidRPr="005C1289">
        <w:rPr>
          <w:rFonts w:ascii="Times New Roman" w:hAnsi="Times New Roman" w:cs="Times New Roman"/>
          <w:sz w:val="28"/>
          <w:szCs w:val="28"/>
        </w:rPr>
        <w:t xml:space="preserve"> articles. General </w:t>
      </w:r>
      <w:proofErr w:type="spellStart"/>
      <w:r w:rsidRPr="005C1289">
        <w:rPr>
          <w:rFonts w:ascii="Times New Roman" w:hAnsi="Times New Roman" w:cs="Times New Roman"/>
          <w:sz w:val="28"/>
          <w:szCs w:val="28"/>
        </w:rPr>
        <w:t>pharmacopoeial</w:t>
      </w:r>
      <w:proofErr w:type="spellEnd"/>
      <w:r w:rsidRPr="005C1289">
        <w:rPr>
          <w:rFonts w:ascii="Times New Roman" w:hAnsi="Times New Roman" w:cs="Times New Roman"/>
          <w:sz w:val="28"/>
          <w:szCs w:val="28"/>
        </w:rPr>
        <w:t xml:space="preserve"> articles describe the general provisions adopted in the </w:t>
      </w:r>
      <w:proofErr w:type="spellStart"/>
      <w:r w:rsidRPr="005C1289">
        <w:rPr>
          <w:rFonts w:ascii="Times New Roman" w:hAnsi="Times New Roman" w:cs="Times New Roman"/>
          <w:sz w:val="28"/>
          <w:szCs w:val="28"/>
        </w:rPr>
        <w:t>pharmacopoeial</w:t>
      </w:r>
      <w:proofErr w:type="spellEnd"/>
      <w:r w:rsidRPr="005C1289">
        <w:rPr>
          <w:rFonts w:ascii="Times New Roman" w:hAnsi="Times New Roman" w:cs="Times New Roman"/>
          <w:sz w:val="28"/>
          <w:szCs w:val="28"/>
        </w:rPr>
        <w:t xml:space="preserve"> analysis, methods of analysis or include a list of standardized indicators and test methods for a particular dosage form. Private monographs determine the level of requirements for specific medicinal products.</w:t>
      </w:r>
    </w:p>
    <w:p w:rsidR="005C1289" w:rsidRPr="005C1289" w:rsidRDefault="005C1289" w:rsidP="005C1289">
      <w:pPr>
        <w:spacing w:after="0" w:line="240" w:lineRule="auto"/>
        <w:jc w:val="both"/>
        <w:rPr>
          <w:rFonts w:ascii="Times New Roman" w:hAnsi="Times New Roman" w:cs="Times New Roman"/>
          <w:sz w:val="28"/>
          <w:szCs w:val="28"/>
        </w:rPr>
      </w:pPr>
      <w:r w:rsidRPr="005C1289">
        <w:rPr>
          <w:rFonts w:ascii="Times New Roman" w:hAnsi="Times New Roman" w:cs="Times New Roman"/>
          <w:sz w:val="28"/>
          <w:szCs w:val="28"/>
        </w:rPr>
        <w:t>Pharmacopoeia article (FS) technical regulatory legal act, a document that establishes quality requirements for medicines, pharmaceutical substances, medicinal herbal raw materials, excipients, reagents, packaging materials used in industrial production, pharmaceutical manufacture of medicines, for standard samples used when checking the quality of drugs, methods of quality control, their packaging, conditions and periods of storage.</w:t>
      </w:r>
    </w:p>
    <w:p w:rsidR="005C1289" w:rsidRPr="005C1289" w:rsidRDefault="005C1289" w:rsidP="005C1289">
      <w:pPr>
        <w:spacing w:after="0" w:line="240" w:lineRule="auto"/>
        <w:jc w:val="both"/>
        <w:rPr>
          <w:rFonts w:ascii="Times New Roman" w:hAnsi="Times New Roman" w:cs="Times New Roman"/>
          <w:sz w:val="28"/>
          <w:szCs w:val="28"/>
        </w:rPr>
      </w:pPr>
      <w:r w:rsidRPr="005C1289">
        <w:rPr>
          <w:rFonts w:ascii="Times New Roman" w:hAnsi="Times New Roman" w:cs="Times New Roman"/>
          <w:sz w:val="28"/>
          <w:szCs w:val="28"/>
        </w:rPr>
        <w:t xml:space="preserve">FSP </w:t>
      </w:r>
      <w:proofErr w:type="spellStart"/>
      <w:r w:rsidRPr="005C1289">
        <w:rPr>
          <w:rFonts w:ascii="Times New Roman" w:hAnsi="Times New Roman" w:cs="Times New Roman"/>
          <w:sz w:val="28"/>
          <w:szCs w:val="28"/>
        </w:rPr>
        <w:t>pharmacopoeial</w:t>
      </w:r>
      <w:proofErr w:type="spellEnd"/>
      <w:r w:rsidRPr="005C1289">
        <w:rPr>
          <w:rFonts w:ascii="Times New Roman" w:hAnsi="Times New Roman" w:cs="Times New Roman"/>
          <w:sz w:val="28"/>
          <w:szCs w:val="28"/>
        </w:rPr>
        <w:t xml:space="preserve"> article of the enterprise (developed for the dosage form produced by the plant from substances that meet the requirements of the FS).</w:t>
      </w:r>
    </w:p>
    <w:p w:rsidR="005C1289" w:rsidRPr="005C1289" w:rsidRDefault="005C1289" w:rsidP="005C1289">
      <w:pPr>
        <w:spacing w:after="0" w:line="240" w:lineRule="auto"/>
        <w:jc w:val="both"/>
        <w:rPr>
          <w:rFonts w:ascii="Times New Roman" w:hAnsi="Times New Roman" w:cs="Times New Roman"/>
          <w:sz w:val="28"/>
          <w:szCs w:val="28"/>
        </w:rPr>
      </w:pPr>
      <w:r w:rsidRPr="005C1289">
        <w:rPr>
          <w:rFonts w:ascii="Times New Roman" w:hAnsi="Times New Roman" w:cs="Times New Roman"/>
          <w:sz w:val="28"/>
          <w:szCs w:val="28"/>
        </w:rPr>
        <w:t xml:space="preserve">Names. In addition to the names in Russian, the Latin name is also given. This name </w:t>
      </w:r>
      <w:proofErr w:type="gramStart"/>
      <w:r w:rsidRPr="005C1289">
        <w:rPr>
          <w:rFonts w:ascii="Times New Roman" w:hAnsi="Times New Roman" w:cs="Times New Roman"/>
          <w:sz w:val="28"/>
          <w:szCs w:val="28"/>
        </w:rPr>
        <w:t>may be used</w:t>
      </w:r>
      <w:proofErr w:type="gramEnd"/>
      <w:r w:rsidRPr="005C1289">
        <w:rPr>
          <w:rFonts w:ascii="Times New Roman" w:hAnsi="Times New Roman" w:cs="Times New Roman"/>
          <w:sz w:val="28"/>
          <w:szCs w:val="28"/>
        </w:rPr>
        <w:t xml:space="preserve"> instead of the Russian name, as well as any other synonym that is recognized as equivalent by the competent authority.</w:t>
      </w:r>
    </w:p>
    <w:p w:rsidR="005C1289" w:rsidRPr="005C1289" w:rsidRDefault="005C1289" w:rsidP="005C1289">
      <w:pPr>
        <w:spacing w:after="0" w:line="240" w:lineRule="auto"/>
        <w:jc w:val="both"/>
        <w:rPr>
          <w:rFonts w:ascii="Times New Roman" w:hAnsi="Times New Roman" w:cs="Times New Roman"/>
          <w:sz w:val="28"/>
          <w:szCs w:val="28"/>
        </w:rPr>
      </w:pPr>
      <w:r w:rsidRPr="005C1289">
        <w:rPr>
          <w:rFonts w:ascii="Times New Roman" w:hAnsi="Times New Roman" w:cs="Times New Roman"/>
          <w:sz w:val="28"/>
          <w:szCs w:val="28"/>
        </w:rPr>
        <w:t>Relative atomic and molecular masses. Relative atomic mass (A.m.) or relative mo</w:t>
      </w:r>
      <w:r>
        <w:rPr>
          <w:rFonts w:ascii="Times New Roman" w:hAnsi="Times New Roman" w:cs="Times New Roman"/>
          <w:sz w:val="28"/>
          <w:szCs w:val="28"/>
        </w:rPr>
        <w:t>lecular weight (</w:t>
      </w:r>
      <w:proofErr w:type="spellStart"/>
      <w:r>
        <w:rPr>
          <w:rFonts w:ascii="Times New Roman" w:hAnsi="Times New Roman" w:cs="Times New Roman"/>
          <w:sz w:val="28"/>
          <w:szCs w:val="28"/>
        </w:rPr>
        <w:t>M.m.</w:t>
      </w:r>
      <w:proofErr w:type="spellEnd"/>
      <w:r>
        <w:rPr>
          <w:rFonts w:ascii="Times New Roman" w:hAnsi="Times New Roman" w:cs="Times New Roman"/>
          <w:sz w:val="28"/>
          <w:szCs w:val="28"/>
        </w:rPr>
        <w:t>) indicate-</w:t>
      </w:r>
      <w:r w:rsidRPr="005C1289">
        <w:rPr>
          <w:rFonts w:ascii="Times New Roman" w:hAnsi="Times New Roman" w:cs="Times New Roman"/>
          <w:sz w:val="28"/>
          <w:szCs w:val="28"/>
        </w:rPr>
        <w:t xml:space="preserve">Xia, when necessary, at the beginning of a monograph. Relative atomic mass, relative molecular mass, molecular formula and graphical formula </w:t>
      </w:r>
      <w:proofErr w:type="gramStart"/>
      <w:r w:rsidRPr="005C1289">
        <w:rPr>
          <w:rFonts w:ascii="Times New Roman" w:hAnsi="Times New Roman" w:cs="Times New Roman"/>
          <w:sz w:val="28"/>
          <w:szCs w:val="28"/>
        </w:rPr>
        <w:t>are given</w:t>
      </w:r>
      <w:proofErr w:type="gramEnd"/>
      <w:r w:rsidRPr="005C1289">
        <w:rPr>
          <w:rFonts w:ascii="Times New Roman" w:hAnsi="Times New Roman" w:cs="Times New Roman"/>
          <w:sz w:val="28"/>
          <w:szCs w:val="28"/>
        </w:rPr>
        <w:t xml:space="preserve"> as informational material.</w:t>
      </w:r>
    </w:p>
    <w:p w:rsidR="005C1289" w:rsidRPr="005C1289" w:rsidRDefault="005C1289" w:rsidP="005C1289">
      <w:pPr>
        <w:spacing w:after="0" w:line="240" w:lineRule="auto"/>
        <w:jc w:val="both"/>
        <w:rPr>
          <w:rFonts w:ascii="Times New Roman" w:hAnsi="Times New Roman" w:cs="Times New Roman"/>
          <w:sz w:val="28"/>
          <w:szCs w:val="28"/>
        </w:rPr>
      </w:pPr>
      <w:r w:rsidRPr="005C1289">
        <w:rPr>
          <w:rFonts w:ascii="Times New Roman" w:hAnsi="Times New Roman" w:cs="Times New Roman"/>
          <w:sz w:val="28"/>
          <w:szCs w:val="28"/>
        </w:rPr>
        <w:t xml:space="preserve">Introductory part of </w:t>
      </w:r>
      <w:proofErr w:type="spellStart"/>
      <w:r w:rsidRPr="005C1289">
        <w:rPr>
          <w:rFonts w:ascii="Times New Roman" w:hAnsi="Times New Roman" w:cs="Times New Roman"/>
          <w:sz w:val="28"/>
          <w:szCs w:val="28"/>
        </w:rPr>
        <w:t>pharmacopoeial</w:t>
      </w:r>
      <w:proofErr w:type="spellEnd"/>
      <w:r w:rsidRPr="005C1289">
        <w:rPr>
          <w:rFonts w:ascii="Times New Roman" w:hAnsi="Times New Roman" w:cs="Times New Roman"/>
          <w:sz w:val="28"/>
          <w:szCs w:val="28"/>
        </w:rPr>
        <w:t xml:space="preserve"> articles. The introductory part following the title of the monograph contains the official definition of the substance, finished drug or other product that is the subject of a monograph.</w:t>
      </w:r>
    </w:p>
    <w:p w:rsidR="005C1289" w:rsidRPr="005C1289" w:rsidRDefault="005C1289" w:rsidP="005C1289">
      <w:pPr>
        <w:spacing w:after="0" w:line="240" w:lineRule="auto"/>
        <w:jc w:val="both"/>
        <w:rPr>
          <w:rFonts w:ascii="Times New Roman" w:hAnsi="Times New Roman" w:cs="Times New Roman"/>
          <w:sz w:val="28"/>
          <w:szCs w:val="28"/>
        </w:rPr>
      </w:pPr>
      <w:r w:rsidRPr="005C1289">
        <w:rPr>
          <w:rFonts w:ascii="Times New Roman" w:hAnsi="Times New Roman" w:cs="Times New Roman"/>
          <w:sz w:val="28"/>
          <w:szCs w:val="28"/>
        </w:rPr>
        <w:t>Content limits. Where content limits are given, these are limits obtained using the method specified in the Quantification section.</w:t>
      </w:r>
    </w:p>
    <w:p w:rsidR="005C1289" w:rsidRPr="005C1289" w:rsidRDefault="005C1289" w:rsidP="005C1289">
      <w:pPr>
        <w:spacing w:after="0" w:line="240" w:lineRule="auto"/>
        <w:jc w:val="both"/>
        <w:rPr>
          <w:rFonts w:ascii="Times New Roman" w:hAnsi="Times New Roman" w:cs="Times New Roman"/>
          <w:sz w:val="28"/>
          <w:szCs w:val="28"/>
        </w:rPr>
      </w:pPr>
      <w:r w:rsidRPr="005C1289">
        <w:rPr>
          <w:rFonts w:ascii="Times New Roman" w:hAnsi="Times New Roman" w:cs="Times New Roman"/>
          <w:sz w:val="28"/>
          <w:szCs w:val="28"/>
        </w:rPr>
        <w:t xml:space="preserve">Medicinal products containing medicinal plant materials. In private articles on medicinal products containing medicinal plant materials, the introductory part includes an indication of the subject of the private article. It can be, for example, medicinal plant material in its original form or medicinal plant material crushed into powder. If a private article covers several options, for example, both of those indicated, </w:t>
      </w:r>
      <w:proofErr w:type="gramStart"/>
      <w:r w:rsidRPr="005C1289">
        <w:rPr>
          <w:rFonts w:ascii="Times New Roman" w:hAnsi="Times New Roman" w:cs="Times New Roman"/>
          <w:sz w:val="28"/>
          <w:szCs w:val="28"/>
        </w:rPr>
        <w:t>then</w:t>
      </w:r>
      <w:proofErr w:type="gramEnd"/>
      <w:r w:rsidRPr="005C1289">
        <w:rPr>
          <w:rFonts w:ascii="Times New Roman" w:hAnsi="Times New Roman" w:cs="Times New Roman"/>
          <w:sz w:val="28"/>
          <w:szCs w:val="28"/>
        </w:rPr>
        <w:t xml:space="preserve"> this is specified in the introductory part.</w:t>
      </w:r>
    </w:p>
    <w:p w:rsidR="000513B3" w:rsidRDefault="005C1289" w:rsidP="005C1289">
      <w:pPr>
        <w:spacing w:after="0" w:line="240" w:lineRule="auto"/>
        <w:jc w:val="both"/>
        <w:rPr>
          <w:rFonts w:ascii="Times New Roman" w:hAnsi="Times New Roman" w:cs="Times New Roman"/>
          <w:sz w:val="28"/>
          <w:szCs w:val="28"/>
        </w:rPr>
      </w:pPr>
      <w:r w:rsidRPr="005C1289">
        <w:rPr>
          <w:rFonts w:ascii="Times New Roman" w:hAnsi="Times New Roman" w:cs="Times New Roman"/>
          <w:sz w:val="28"/>
          <w:szCs w:val="28"/>
        </w:rPr>
        <w:t xml:space="preserve">Production. The information in the Manufacturing section </w:t>
      </w:r>
      <w:proofErr w:type="gramStart"/>
      <w:r w:rsidRPr="005C1289">
        <w:rPr>
          <w:rFonts w:ascii="Times New Roman" w:hAnsi="Times New Roman" w:cs="Times New Roman"/>
          <w:sz w:val="28"/>
          <w:szCs w:val="28"/>
        </w:rPr>
        <w:t>is intended</w:t>
      </w:r>
      <w:proofErr w:type="gramEnd"/>
      <w:r w:rsidRPr="005C1289">
        <w:rPr>
          <w:rFonts w:ascii="Times New Roman" w:hAnsi="Times New Roman" w:cs="Times New Roman"/>
          <w:sz w:val="28"/>
          <w:szCs w:val="28"/>
        </w:rPr>
        <w:t xml:space="preserve"> to draw attention to some important aspects of the manufacturing process and is not necessarily exhaustive. The instructions contained therein </w:t>
      </w:r>
      <w:proofErr w:type="gramStart"/>
      <w:r w:rsidRPr="005C1289">
        <w:rPr>
          <w:rFonts w:ascii="Times New Roman" w:hAnsi="Times New Roman" w:cs="Times New Roman"/>
          <w:sz w:val="28"/>
          <w:szCs w:val="28"/>
        </w:rPr>
        <w:t>are addressed</w:t>
      </w:r>
      <w:proofErr w:type="gramEnd"/>
      <w:r w:rsidRPr="005C1289">
        <w:rPr>
          <w:rFonts w:ascii="Times New Roman" w:hAnsi="Times New Roman" w:cs="Times New Roman"/>
          <w:sz w:val="28"/>
          <w:szCs w:val="28"/>
        </w:rPr>
        <w:t xml:space="preserve"> to the manufacturer. They may relate, for example, to materials, to the manufacturing process, to its validation and control, to </w:t>
      </w:r>
      <w:proofErr w:type="gramStart"/>
      <w:r w:rsidRPr="005C1289">
        <w:rPr>
          <w:rFonts w:ascii="Times New Roman" w:hAnsi="Times New Roman" w:cs="Times New Roman"/>
          <w:sz w:val="28"/>
          <w:szCs w:val="28"/>
        </w:rPr>
        <w:t>step-by-step</w:t>
      </w:r>
      <w:proofErr w:type="gramEnd"/>
      <w:r w:rsidRPr="005C1289">
        <w:rPr>
          <w:rFonts w:ascii="Times New Roman" w:hAnsi="Times New Roman" w:cs="Times New Roman"/>
          <w:sz w:val="28"/>
          <w:szCs w:val="28"/>
        </w:rPr>
        <w:t xml:space="preserve"> control, and also to the tests that the manufacturer must carry out before release for each product batch or for selected batches. These provisions </w:t>
      </w:r>
      <w:proofErr w:type="gramStart"/>
      <w:r w:rsidRPr="005C1289">
        <w:rPr>
          <w:rFonts w:ascii="Times New Roman" w:hAnsi="Times New Roman" w:cs="Times New Roman"/>
          <w:sz w:val="28"/>
          <w:szCs w:val="28"/>
        </w:rPr>
        <w:t>must necessarily be confirmed</w:t>
      </w:r>
      <w:proofErr w:type="gramEnd"/>
      <w:r w:rsidRPr="005C1289">
        <w:rPr>
          <w:rFonts w:ascii="Times New Roman" w:hAnsi="Times New Roman" w:cs="Times New Roman"/>
          <w:sz w:val="28"/>
          <w:szCs w:val="28"/>
        </w:rPr>
        <w:t xml:space="preserve"> by analysis of the final product. The competent authority may determine that the above aspects </w:t>
      </w:r>
      <w:proofErr w:type="gramStart"/>
      <w:r w:rsidRPr="005C1289">
        <w:rPr>
          <w:rFonts w:ascii="Times New Roman" w:hAnsi="Times New Roman" w:cs="Times New Roman"/>
          <w:sz w:val="28"/>
          <w:szCs w:val="28"/>
        </w:rPr>
        <w:lastRenderedPageBreak/>
        <w:t>have been met</w:t>
      </w:r>
      <w:proofErr w:type="gramEnd"/>
      <w:r w:rsidRPr="005C1289">
        <w:rPr>
          <w:rFonts w:ascii="Times New Roman" w:hAnsi="Times New Roman" w:cs="Times New Roman"/>
          <w:sz w:val="28"/>
          <w:szCs w:val="28"/>
        </w:rPr>
        <w:t xml:space="preserve">. Such a conclusion can be made </w:t>
      </w:r>
      <w:proofErr w:type="gramStart"/>
      <w:r w:rsidRPr="005C1289">
        <w:rPr>
          <w:rFonts w:ascii="Times New Roman" w:hAnsi="Times New Roman" w:cs="Times New Roman"/>
          <w:sz w:val="28"/>
          <w:szCs w:val="28"/>
        </w:rPr>
        <w:t>on the basis of</w:t>
      </w:r>
      <w:proofErr w:type="gramEnd"/>
      <w:r w:rsidRPr="005C1289">
        <w:rPr>
          <w:rFonts w:ascii="Times New Roman" w:hAnsi="Times New Roman" w:cs="Times New Roman"/>
          <w:sz w:val="28"/>
          <w:szCs w:val="28"/>
        </w:rPr>
        <w:t xml:space="preserve"> verification of the data received from the manufacturer, or by inspecting the production, or by testing the corresponding samples.</w:t>
      </w:r>
    </w:p>
    <w:p w:rsidR="005C1289" w:rsidRPr="005C1289" w:rsidRDefault="005C1289" w:rsidP="005C1289">
      <w:pPr>
        <w:spacing w:after="0" w:line="240" w:lineRule="auto"/>
        <w:jc w:val="both"/>
        <w:rPr>
          <w:rFonts w:ascii="Times New Roman" w:hAnsi="Times New Roman" w:cs="Times New Roman"/>
          <w:sz w:val="28"/>
          <w:szCs w:val="28"/>
        </w:rPr>
      </w:pPr>
      <w:r w:rsidRPr="005C1289">
        <w:rPr>
          <w:rFonts w:ascii="Times New Roman" w:hAnsi="Times New Roman" w:cs="Times New Roman"/>
          <w:sz w:val="28"/>
          <w:szCs w:val="28"/>
        </w:rPr>
        <w:t xml:space="preserve">The absence of a "Production" section does not mean that the aspects of the production process noted above do not require attention. Any product described in a monograph </w:t>
      </w:r>
      <w:proofErr w:type="gramStart"/>
      <w:r w:rsidRPr="005C1289">
        <w:rPr>
          <w:rFonts w:ascii="Times New Roman" w:hAnsi="Times New Roman" w:cs="Times New Roman"/>
          <w:sz w:val="28"/>
          <w:szCs w:val="28"/>
        </w:rPr>
        <w:t>must be manufactured</w:t>
      </w:r>
      <w:proofErr w:type="gramEnd"/>
      <w:r w:rsidRPr="005C1289">
        <w:rPr>
          <w:rFonts w:ascii="Times New Roman" w:hAnsi="Times New Roman" w:cs="Times New Roman"/>
          <w:sz w:val="28"/>
          <w:szCs w:val="28"/>
        </w:rPr>
        <w:t xml:space="preserve"> in accordance with the principles of good manufacturing practice (GMP) and relevant international agreements, as well as national and supranational laws that apply to products intended for use in medicine.</w:t>
      </w:r>
    </w:p>
    <w:p w:rsidR="005C1289" w:rsidRPr="005C1289" w:rsidRDefault="005C1289" w:rsidP="005C1289">
      <w:pPr>
        <w:spacing w:after="0" w:line="240" w:lineRule="auto"/>
        <w:jc w:val="both"/>
        <w:rPr>
          <w:rFonts w:ascii="Times New Roman" w:hAnsi="Times New Roman" w:cs="Times New Roman"/>
          <w:sz w:val="28"/>
          <w:szCs w:val="28"/>
        </w:rPr>
      </w:pPr>
      <w:r w:rsidRPr="005C1289">
        <w:rPr>
          <w:rFonts w:ascii="Times New Roman" w:hAnsi="Times New Roman" w:cs="Times New Roman"/>
          <w:sz w:val="28"/>
          <w:szCs w:val="28"/>
        </w:rPr>
        <w:t xml:space="preserve">In the "Manufacturing" section of a monograph for a vaccine, the properties of the strain and test methods to confirm these properties </w:t>
      </w:r>
      <w:proofErr w:type="gramStart"/>
      <w:r w:rsidRPr="005C1289">
        <w:rPr>
          <w:rFonts w:ascii="Times New Roman" w:hAnsi="Times New Roman" w:cs="Times New Roman"/>
          <w:sz w:val="28"/>
          <w:szCs w:val="28"/>
        </w:rPr>
        <w:t>may be indicated</w:t>
      </w:r>
      <w:proofErr w:type="gramEnd"/>
      <w:r w:rsidRPr="005C1289">
        <w:rPr>
          <w:rFonts w:ascii="Times New Roman" w:hAnsi="Times New Roman" w:cs="Times New Roman"/>
          <w:sz w:val="28"/>
          <w:szCs w:val="28"/>
        </w:rPr>
        <w:t xml:space="preserve">. These methods </w:t>
      </w:r>
      <w:proofErr w:type="gramStart"/>
      <w:r w:rsidRPr="005C1289">
        <w:rPr>
          <w:rFonts w:ascii="Times New Roman" w:hAnsi="Times New Roman" w:cs="Times New Roman"/>
          <w:sz w:val="28"/>
          <w:szCs w:val="28"/>
        </w:rPr>
        <w:t>are given</w:t>
      </w:r>
      <w:proofErr w:type="gramEnd"/>
      <w:r w:rsidRPr="005C1289">
        <w:rPr>
          <w:rFonts w:ascii="Times New Roman" w:hAnsi="Times New Roman" w:cs="Times New Roman"/>
          <w:sz w:val="28"/>
          <w:szCs w:val="28"/>
        </w:rPr>
        <w:t xml:space="preserve"> for information as an example.</w:t>
      </w:r>
    </w:p>
    <w:p w:rsidR="005C1289" w:rsidRPr="005C1289" w:rsidRDefault="005C1289" w:rsidP="005C1289">
      <w:pPr>
        <w:spacing w:after="0" w:line="240" w:lineRule="auto"/>
        <w:jc w:val="both"/>
        <w:rPr>
          <w:rFonts w:ascii="Times New Roman" w:hAnsi="Times New Roman" w:cs="Times New Roman"/>
          <w:sz w:val="28"/>
          <w:szCs w:val="28"/>
        </w:rPr>
      </w:pPr>
      <w:r w:rsidRPr="005C1289">
        <w:rPr>
          <w:rFonts w:ascii="Times New Roman" w:hAnsi="Times New Roman" w:cs="Times New Roman"/>
          <w:sz w:val="28"/>
          <w:szCs w:val="28"/>
        </w:rPr>
        <w:t xml:space="preserve">Description (properties). Indicate the characteristics of the physical state and the </w:t>
      </w:r>
      <w:proofErr w:type="spellStart"/>
      <w:r w:rsidRPr="005C1289">
        <w:rPr>
          <w:rFonts w:ascii="Times New Roman" w:hAnsi="Times New Roman" w:cs="Times New Roman"/>
          <w:sz w:val="28"/>
          <w:szCs w:val="28"/>
        </w:rPr>
        <w:t>color</w:t>
      </w:r>
      <w:proofErr w:type="spellEnd"/>
      <w:r w:rsidRPr="005C1289">
        <w:rPr>
          <w:rFonts w:ascii="Times New Roman" w:hAnsi="Times New Roman" w:cs="Times New Roman"/>
          <w:sz w:val="28"/>
          <w:szCs w:val="28"/>
        </w:rPr>
        <w:t xml:space="preserve"> of the medicinal product; if necessary, give information on </w:t>
      </w:r>
      <w:proofErr w:type="spellStart"/>
      <w:r w:rsidRPr="005C1289">
        <w:rPr>
          <w:rFonts w:ascii="Times New Roman" w:hAnsi="Times New Roman" w:cs="Times New Roman"/>
          <w:sz w:val="28"/>
          <w:szCs w:val="28"/>
        </w:rPr>
        <w:t>odor</w:t>
      </w:r>
      <w:proofErr w:type="spellEnd"/>
      <w:r w:rsidRPr="005C1289">
        <w:rPr>
          <w:rFonts w:ascii="Times New Roman" w:hAnsi="Times New Roman" w:cs="Times New Roman"/>
          <w:sz w:val="28"/>
          <w:szCs w:val="28"/>
        </w:rPr>
        <w:t xml:space="preserve"> and </w:t>
      </w:r>
      <w:proofErr w:type="spellStart"/>
      <w:r w:rsidRPr="005C1289">
        <w:rPr>
          <w:rFonts w:ascii="Times New Roman" w:hAnsi="Times New Roman" w:cs="Times New Roman"/>
          <w:sz w:val="28"/>
          <w:szCs w:val="28"/>
        </w:rPr>
        <w:t>hygroscopicity</w:t>
      </w:r>
      <w:proofErr w:type="spellEnd"/>
      <w:r w:rsidRPr="005C1289">
        <w:rPr>
          <w:rFonts w:ascii="Times New Roman" w:hAnsi="Times New Roman" w:cs="Times New Roman"/>
          <w:sz w:val="28"/>
          <w:szCs w:val="28"/>
        </w:rPr>
        <w:t>.</w:t>
      </w:r>
    </w:p>
    <w:p w:rsidR="005C1289" w:rsidRPr="005C1289" w:rsidRDefault="005C1289" w:rsidP="005C1289">
      <w:pPr>
        <w:spacing w:after="0" w:line="240" w:lineRule="auto"/>
        <w:jc w:val="both"/>
        <w:rPr>
          <w:rFonts w:ascii="Times New Roman" w:hAnsi="Times New Roman" w:cs="Times New Roman"/>
          <w:sz w:val="28"/>
          <w:szCs w:val="28"/>
        </w:rPr>
      </w:pPr>
      <w:r w:rsidRPr="005C1289">
        <w:rPr>
          <w:rFonts w:ascii="Times New Roman" w:hAnsi="Times New Roman" w:cs="Times New Roman"/>
          <w:sz w:val="28"/>
          <w:szCs w:val="28"/>
        </w:rPr>
        <w:t>Solid substances can be coarse-grained (not more than 40% of the powder particles should be less than 0.4 mm in size), crystalline (not less than 95% of the powder particles should be less than 0.4 mm in size and not more than 40%</w:t>
      </w:r>
    </w:p>
    <w:p w:rsidR="005C1289" w:rsidRPr="005C1289" w:rsidRDefault="005C1289" w:rsidP="005C1289">
      <w:pPr>
        <w:spacing w:after="0" w:line="240" w:lineRule="auto"/>
        <w:jc w:val="both"/>
        <w:rPr>
          <w:rFonts w:ascii="Times New Roman" w:hAnsi="Times New Roman" w:cs="Times New Roman"/>
          <w:sz w:val="28"/>
          <w:szCs w:val="28"/>
        </w:rPr>
      </w:pPr>
      <w:r w:rsidRPr="005C1289">
        <w:rPr>
          <w:rFonts w:ascii="Times New Roman" w:hAnsi="Times New Roman" w:cs="Times New Roman"/>
          <w:sz w:val="28"/>
          <w:szCs w:val="28"/>
        </w:rPr>
        <w:t>- less than 0.2 mm in size), finely crystalline (at least 95% of the powder particles should be less than 0.2 mm in size) or amorphous (no light reflection is observed when the microscope stage is rotated).</w:t>
      </w:r>
    </w:p>
    <w:p w:rsidR="005C1289" w:rsidRPr="005C1289" w:rsidRDefault="005C1289" w:rsidP="005C1289">
      <w:pPr>
        <w:spacing w:after="0" w:line="240" w:lineRule="auto"/>
        <w:jc w:val="both"/>
        <w:rPr>
          <w:rFonts w:ascii="Times New Roman" w:hAnsi="Times New Roman" w:cs="Times New Roman"/>
          <w:sz w:val="28"/>
          <w:szCs w:val="28"/>
        </w:rPr>
      </w:pPr>
      <w:r w:rsidRPr="005C1289">
        <w:rPr>
          <w:rFonts w:ascii="Times New Roman" w:hAnsi="Times New Roman" w:cs="Times New Roman"/>
          <w:sz w:val="28"/>
          <w:szCs w:val="28"/>
        </w:rPr>
        <w:t xml:space="preserve">The characteristics of crystallinity and </w:t>
      </w:r>
      <w:proofErr w:type="spellStart"/>
      <w:r w:rsidRPr="005C1289">
        <w:rPr>
          <w:rFonts w:ascii="Times New Roman" w:hAnsi="Times New Roman" w:cs="Times New Roman"/>
          <w:sz w:val="28"/>
          <w:szCs w:val="28"/>
        </w:rPr>
        <w:t>hygroscopicity</w:t>
      </w:r>
      <w:proofErr w:type="spellEnd"/>
      <w:r w:rsidRPr="005C1289">
        <w:rPr>
          <w:rFonts w:ascii="Times New Roman" w:hAnsi="Times New Roman" w:cs="Times New Roman"/>
          <w:sz w:val="28"/>
          <w:szCs w:val="28"/>
        </w:rPr>
        <w:t xml:space="preserve"> in the description </w:t>
      </w:r>
      <w:proofErr w:type="gramStart"/>
      <w:r w:rsidRPr="005C1289">
        <w:rPr>
          <w:rFonts w:ascii="Times New Roman" w:hAnsi="Times New Roman" w:cs="Times New Roman"/>
          <w:sz w:val="28"/>
          <w:szCs w:val="28"/>
        </w:rPr>
        <w:t>are given</w:t>
      </w:r>
      <w:proofErr w:type="gramEnd"/>
      <w:r w:rsidRPr="005C1289">
        <w:rPr>
          <w:rFonts w:ascii="Times New Roman" w:hAnsi="Times New Roman" w:cs="Times New Roman"/>
          <w:sz w:val="28"/>
          <w:szCs w:val="28"/>
        </w:rPr>
        <w:t xml:space="preserve"> for information and are not subject to testing. If it is necessary to normalize the particle size, a special section </w:t>
      </w:r>
      <w:proofErr w:type="gramStart"/>
      <w:r w:rsidRPr="005C1289">
        <w:rPr>
          <w:rFonts w:ascii="Times New Roman" w:hAnsi="Times New Roman" w:cs="Times New Roman"/>
          <w:sz w:val="28"/>
          <w:szCs w:val="28"/>
        </w:rPr>
        <w:t>is given</w:t>
      </w:r>
      <w:proofErr w:type="gramEnd"/>
      <w:r w:rsidRPr="005C1289">
        <w:rPr>
          <w:rFonts w:ascii="Times New Roman" w:hAnsi="Times New Roman" w:cs="Times New Roman"/>
          <w:sz w:val="28"/>
          <w:szCs w:val="28"/>
        </w:rPr>
        <w:t xml:space="preserve"> in a private </w:t>
      </w:r>
      <w:proofErr w:type="spellStart"/>
      <w:r w:rsidRPr="005C1289">
        <w:rPr>
          <w:rFonts w:ascii="Times New Roman" w:hAnsi="Times New Roman" w:cs="Times New Roman"/>
          <w:sz w:val="28"/>
          <w:szCs w:val="28"/>
        </w:rPr>
        <w:t>pharmacopoeial</w:t>
      </w:r>
      <w:proofErr w:type="spellEnd"/>
      <w:r w:rsidRPr="005C1289">
        <w:rPr>
          <w:rFonts w:ascii="Times New Roman" w:hAnsi="Times New Roman" w:cs="Times New Roman"/>
          <w:sz w:val="28"/>
          <w:szCs w:val="28"/>
        </w:rPr>
        <w:t xml:space="preserve"> monograph.</w:t>
      </w:r>
    </w:p>
    <w:p w:rsidR="005C1289" w:rsidRPr="005C1289" w:rsidRDefault="005C1289" w:rsidP="005C1289">
      <w:pPr>
        <w:spacing w:after="0" w:line="240" w:lineRule="auto"/>
        <w:jc w:val="both"/>
        <w:rPr>
          <w:rFonts w:ascii="Times New Roman" w:hAnsi="Times New Roman" w:cs="Times New Roman"/>
          <w:sz w:val="28"/>
          <w:szCs w:val="28"/>
        </w:rPr>
      </w:pPr>
      <w:r w:rsidRPr="005C1289">
        <w:rPr>
          <w:rFonts w:ascii="Times New Roman" w:hAnsi="Times New Roman" w:cs="Times New Roman"/>
          <w:sz w:val="28"/>
          <w:szCs w:val="28"/>
        </w:rPr>
        <w:t xml:space="preserve">The </w:t>
      </w:r>
      <w:proofErr w:type="spellStart"/>
      <w:r w:rsidRPr="005C1289">
        <w:rPr>
          <w:rFonts w:ascii="Times New Roman" w:hAnsi="Times New Roman" w:cs="Times New Roman"/>
          <w:sz w:val="28"/>
          <w:szCs w:val="28"/>
        </w:rPr>
        <w:t>color</w:t>
      </w:r>
      <w:proofErr w:type="spellEnd"/>
      <w:r w:rsidRPr="005C1289">
        <w:rPr>
          <w:rFonts w:ascii="Times New Roman" w:hAnsi="Times New Roman" w:cs="Times New Roman"/>
          <w:sz w:val="28"/>
          <w:szCs w:val="28"/>
        </w:rPr>
        <w:t xml:space="preserve"> </w:t>
      </w:r>
      <w:proofErr w:type="gramStart"/>
      <w:r w:rsidRPr="005C1289">
        <w:rPr>
          <w:rFonts w:ascii="Times New Roman" w:hAnsi="Times New Roman" w:cs="Times New Roman"/>
          <w:sz w:val="28"/>
          <w:szCs w:val="28"/>
        </w:rPr>
        <w:t>is characterized</w:t>
      </w:r>
      <w:proofErr w:type="gramEnd"/>
      <w:r w:rsidRPr="005C1289">
        <w:rPr>
          <w:rFonts w:ascii="Times New Roman" w:hAnsi="Times New Roman" w:cs="Times New Roman"/>
          <w:sz w:val="28"/>
          <w:szCs w:val="28"/>
        </w:rPr>
        <w:t xml:space="preserve"> by names: white, yellow, orange, red, etc. With tint </w:t>
      </w:r>
      <w:proofErr w:type="spellStart"/>
      <w:r w:rsidRPr="005C1289">
        <w:rPr>
          <w:rFonts w:ascii="Times New Roman" w:hAnsi="Times New Roman" w:cs="Times New Roman"/>
          <w:sz w:val="28"/>
          <w:szCs w:val="28"/>
        </w:rPr>
        <w:t>colors</w:t>
      </w:r>
      <w:proofErr w:type="spellEnd"/>
      <w:r w:rsidRPr="005C1289">
        <w:rPr>
          <w:rFonts w:ascii="Times New Roman" w:hAnsi="Times New Roman" w:cs="Times New Roman"/>
          <w:sz w:val="28"/>
          <w:szCs w:val="28"/>
        </w:rPr>
        <w:t xml:space="preserve">, the </w:t>
      </w:r>
      <w:proofErr w:type="spellStart"/>
      <w:r w:rsidRPr="005C1289">
        <w:rPr>
          <w:rFonts w:ascii="Times New Roman" w:hAnsi="Times New Roman" w:cs="Times New Roman"/>
          <w:sz w:val="28"/>
          <w:szCs w:val="28"/>
        </w:rPr>
        <w:t>color</w:t>
      </w:r>
      <w:proofErr w:type="spellEnd"/>
      <w:r w:rsidRPr="005C1289">
        <w:rPr>
          <w:rFonts w:ascii="Times New Roman" w:hAnsi="Times New Roman" w:cs="Times New Roman"/>
          <w:sz w:val="28"/>
          <w:szCs w:val="28"/>
        </w:rPr>
        <w:t xml:space="preserve"> that is contained in a smaller proportion </w:t>
      </w:r>
      <w:proofErr w:type="gramStart"/>
      <w:r w:rsidRPr="005C1289">
        <w:rPr>
          <w:rFonts w:ascii="Times New Roman" w:hAnsi="Times New Roman" w:cs="Times New Roman"/>
          <w:sz w:val="28"/>
          <w:szCs w:val="28"/>
        </w:rPr>
        <w:t>is indicated</w:t>
      </w:r>
      <w:proofErr w:type="gramEnd"/>
      <w:r w:rsidRPr="005C1289">
        <w:rPr>
          <w:rFonts w:ascii="Times New Roman" w:hAnsi="Times New Roman" w:cs="Times New Roman"/>
          <w:sz w:val="28"/>
          <w:szCs w:val="28"/>
        </w:rPr>
        <w:t xml:space="preserve"> first, and then, through a hyphen, the predominant </w:t>
      </w:r>
      <w:proofErr w:type="spellStart"/>
      <w:r w:rsidRPr="005C1289">
        <w:rPr>
          <w:rFonts w:ascii="Times New Roman" w:hAnsi="Times New Roman" w:cs="Times New Roman"/>
          <w:sz w:val="28"/>
          <w:szCs w:val="28"/>
        </w:rPr>
        <w:t>color</w:t>
      </w:r>
      <w:proofErr w:type="spellEnd"/>
      <w:r w:rsidRPr="005C1289">
        <w:rPr>
          <w:rFonts w:ascii="Times New Roman" w:hAnsi="Times New Roman" w:cs="Times New Roman"/>
          <w:sz w:val="28"/>
          <w:szCs w:val="28"/>
        </w:rPr>
        <w:t xml:space="preserve"> (for example, red-brown).</w:t>
      </w:r>
    </w:p>
    <w:p w:rsidR="005C1289" w:rsidRPr="005C1289" w:rsidRDefault="005C1289" w:rsidP="005C1289">
      <w:pPr>
        <w:spacing w:after="0" w:line="240" w:lineRule="auto"/>
        <w:jc w:val="both"/>
        <w:rPr>
          <w:rFonts w:ascii="Times New Roman" w:hAnsi="Times New Roman" w:cs="Times New Roman"/>
          <w:sz w:val="28"/>
          <w:szCs w:val="28"/>
        </w:rPr>
      </w:pPr>
      <w:r w:rsidRPr="005C1289">
        <w:rPr>
          <w:rFonts w:ascii="Times New Roman" w:hAnsi="Times New Roman" w:cs="Times New Roman"/>
          <w:sz w:val="28"/>
          <w:szCs w:val="28"/>
        </w:rPr>
        <w:t xml:space="preserve">Weakly </w:t>
      </w:r>
      <w:proofErr w:type="spellStart"/>
      <w:r w:rsidRPr="005C1289">
        <w:rPr>
          <w:rFonts w:ascii="Times New Roman" w:hAnsi="Times New Roman" w:cs="Times New Roman"/>
          <w:sz w:val="28"/>
          <w:szCs w:val="28"/>
        </w:rPr>
        <w:t>colored</w:t>
      </w:r>
      <w:proofErr w:type="spellEnd"/>
      <w:r w:rsidRPr="005C1289">
        <w:rPr>
          <w:rFonts w:ascii="Times New Roman" w:hAnsi="Times New Roman" w:cs="Times New Roman"/>
          <w:sz w:val="28"/>
          <w:szCs w:val="28"/>
        </w:rPr>
        <w:t xml:space="preserve"> samples have a </w:t>
      </w:r>
      <w:proofErr w:type="spellStart"/>
      <w:r w:rsidRPr="005C1289">
        <w:rPr>
          <w:rFonts w:ascii="Times New Roman" w:hAnsi="Times New Roman" w:cs="Times New Roman"/>
          <w:sz w:val="28"/>
          <w:szCs w:val="28"/>
        </w:rPr>
        <w:t>color</w:t>
      </w:r>
      <w:proofErr w:type="spellEnd"/>
      <w:r w:rsidRPr="005C1289">
        <w:rPr>
          <w:rFonts w:ascii="Times New Roman" w:hAnsi="Times New Roman" w:cs="Times New Roman"/>
          <w:sz w:val="28"/>
          <w:szCs w:val="28"/>
        </w:rPr>
        <w:t xml:space="preserve"> shade, the name of which is characterized by the suffix “-ovate” (for example, “yellowish”) or indicate</w:t>
      </w:r>
    </w:p>
    <w:p w:rsidR="005C1289" w:rsidRPr="005C1289" w:rsidRDefault="005C1289" w:rsidP="005C1289">
      <w:pPr>
        <w:spacing w:after="0" w:line="240" w:lineRule="auto"/>
        <w:jc w:val="both"/>
        <w:rPr>
          <w:rFonts w:ascii="Times New Roman" w:hAnsi="Times New Roman" w:cs="Times New Roman"/>
          <w:sz w:val="28"/>
          <w:szCs w:val="28"/>
        </w:rPr>
      </w:pPr>
      <w:r w:rsidRPr="005C1289">
        <w:rPr>
          <w:rFonts w:ascii="Times New Roman" w:hAnsi="Times New Roman" w:cs="Times New Roman"/>
          <w:sz w:val="28"/>
          <w:szCs w:val="28"/>
        </w:rPr>
        <w:t>"</w:t>
      </w:r>
      <w:proofErr w:type="gramStart"/>
      <w:r w:rsidRPr="005C1289">
        <w:rPr>
          <w:rFonts w:ascii="Times New Roman" w:hAnsi="Times New Roman" w:cs="Times New Roman"/>
          <w:sz w:val="28"/>
          <w:szCs w:val="28"/>
        </w:rPr>
        <w:t>light-</w:t>
      </w:r>
      <w:proofErr w:type="gramEnd"/>
      <w:r w:rsidRPr="005C1289">
        <w:rPr>
          <w:rFonts w:ascii="Times New Roman" w:hAnsi="Times New Roman" w:cs="Times New Roman"/>
          <w:sz w:val="28"/>
          <w:szCs w:val="28"/>
        </w:rPr>
        <w:t>" (for example, "light yellow").</w:t>
      </w:r>
    </w:p>
    <w:p w:rsidR="005C1289" w:rsidRPr="005C1289" w:rsidRDefault="005C1289" w:rsidP="005C1289">
      <w:pPr>
        <w:spacing w:after="0" w:line="240" w:lineRule="auto"/>
        <w:jc w:val="both"/>
        <w:rPr>
          <w:rFonts w:ascii="Times New Roman" w:hAnsi="Times New Roman" w:cs="Times New Roman"/>
          <w:sz w:val="28"/>
          <w:szCs w:val="28"/>
        </w:rPr>
      </w:pPr>
      <w:r w:rsidRPr="005C1289">
        <w:rPr>
          <w:rFonts w:ascii="Times New Roman" w:hAnsi="Times New Roman" w:cs="Times New Roman"/>
          <w:sz w:val="28"/>
          <w:szCs w:val="28"/>
        </w:rPr>
        <w:t xml:space="preserve"> </w:t>
      </w:r>
    </w:p>
    <w:p w:rsidR="005C1289" w:rsidRPr="005C1289" w:rsidRDefault="005C1289" w:rsidP="005C1289">
      <w:pPr>
        <w:spacing w:after="0" w:line="240" w:lineRule="auto"/>
        <w:jc w:val="both"/>
        <w:rPr>
          <w:rFonts w:ascii="Times New Roman" w:hAnsi="Times New Roman" w:cs="Times New Roman"/>
          <w:sz w:val="28"/>
          <w:szCs w:val="28"/>
        </w:rPr>
      </w:pPr>
    </w:p>
    <w:p w:rsidR="005C1289" w:rsidRPr="005C1289" w:rsidRDefault="005C1289" w:rsidP="005C1289">
      <w:pPr>
        <w:spacing w:after="0" w:line="240" w:lineRule="auto"/>
        <w:jc w:val="both"/>
        <w:rPr>
          <w:rFonts w:ascii="Times New Roman" w:hAnsi="Times New Roman" w:cs="Times New Roman"/>
          <w:sz w:val="28"/>
          <w:szCs w:val="28"/>
        </w:rPr>
      </w:pPr>
      <w:r w:rsidRPr="005C1289">
        <w:rPr>
          <w:rFonts w:ascii="Times New Roman" w:hAnsi="Times New Roman" w:cs="Times New Roman"/>
          <w:sz w:val="28"/>
          <w:szCs w:val="28"/>
        </w:rPr>
        <w:t xml:space="preserve">The </w:t>
      </w:r>
      <w:proofErr w:type="spellStart"/>
      <w:r w:rsidRPr="005C1289">
        <w:rPr>
          <w:rFonts w:ascii="Times New Roman" w:hAnsi="Times New Roman" w:cs="Times New Roman"/>
          <w:sz w:val="28"/>
          <w:szCs w:val="28"/>
        </w:rPr>
        <w:t>color</w:t>
      </w:r>
      <w:proofErr w:type="spellEnd"/>
      <w:r w:rsidRPr="005C1289">
        <w:rPr>
          <w:rFonts w:ascii="Times New Roman" w:hAnsi="Times New Roman" w:cs="Times New Roman"/>
          <w:sz w:val="28"/>
          <w:szCs w:val="28"/>
        </w:rPr>
        <w:t xml:space="preserve"> of the solids is determined against a dull white background (white thick or filter paper) in diffused daylight under conditions of minimal shadow development. A small amount of the substance </w:t>
      </w:r>
      <w:proofErr w:type="gramStart"/>
      <w:r w:rsidRPr="005C1289">
        <w:rPr>
          <w:rFonts w:ascii="Times New Roman" w:hAnsi="Times New Roman" w:cs="Times New Roman"/>
          <w:sz w:val="28"/>
          <w:szCs w:val="28"/>
        </w:rPr>
        <w:t>is placed</w:t>
      </w:r>
      <w:proofErr w:type="gramEnd"/>
      <w:r w:rsidRPr="005C1289">
        <w:rPr>
          <w:rFonts w:ascii="Times New Roman" w:hAnsi="Times New Roman" w:cs="Times New Roman"/>
          <w:sz w:val="28"/>
          <w:szCs w:val="28"/>
        </w:rPr>
        <w:t xml:space="preserve"> on white paper and, without pressure, is evenly distributed over the surface of the paper (carefully </w:t>
      </w:r>
      <w:proofErr w:type="spellStart"/>
      <w:r w:rsidRPr="005C1289">
        <w:rPr>
          <w:rFonts w:ascii="Times New Roman" w:hAnsi="Times New Roman" w:cs="Times New Roman"/>
          <w:sz w:val="28"/>
          <w:szCs w:val="28"/>
        </w:rPr>
        <w:t>leveled</w:t>
      </w:r>
      <w:proofErr w:type="spellEnd"/>
      <w:r w:rsidRPr="005C1289">
        <w:rPr>
          <w:rFonts w:ascii="Times New Roman" w:hAnsi="Times New Roman" w:cs="Times New Roman"/>
          <w:sz w:val="28"/>
          <w:szCs w:val="28"/>
        </w:rPr>
        <w:t xml:space="preserve"> with a spatula or other device) so that the surface remains flat.</w:t>
      </w:r>
    </w:p>
    <w:p w:rsidR="005C1289" w:rsidRPr="005C1289" w:rsidRDefault="005C1289" w:rsidP="005C1289">
      <w:pPr>
        <w:spacing w:after="0" w:line="240" w:lineRule="auto"/>
        <w:jc w:val="both"/>
        <w:rPr>
          <w:rFonts w:ascii="Times New Roman" w:hAnsi="Times New Roman" w:cs="Times New Roman"/>
          <w:sz w:val="28"/>
          <w:szCs w:val="28"/>
        </w:rPr>
      </w:pPr>
      <w:r w:rsidRPr="005C1289">
        <w:rPr>
          <w:rFonts w:ascii="Times New Roman" w:hAnsi="Times New Roman" w:cs="Times New Roman"/>
          <w:sz w:val="28"/>
          <w:szCs w:val="28"/>
        </w:rPr>
        <w:t xml:space="preserve">Smell. The smell </w:t>
      </w:r>
      <w:proofErr w:type="gramStart"/>
      <w:r w:rsidRPr="005C1289">
        <w:rPr>
          <w:rFonts w:ascii="Times New Roman" w:hAnsi="Times New Roman" w:cs="Times New Roman"/>
          <w:sz w:val="28"/>
          <w:szCs w:val="28"/>
        </w:rPr>
        <w:t>is characterized</w:t>
      </w:r>
      <w:proofErr w:type="gramEnd"/>
      <w:r w:rsidRPr="005C1289">
        <w:rPr>
          <w:rFonts w:ascii="Times New Roman" w:hAnsi="Times New Roman" w:cs="Times New Roman"/>
          <w:sz w:val="28"/>
          <w:szCs w:val="28"/>
        </w:rPr>
        <w:t xml:space="preserve"> by the terms: "</w:t>
      </w:r>
      <w:proofErr w:type="spellStart"/>
      <w:r w:rsidRPr="005C1289">
        <w:rPr>
          <w:rFonts w:ascii="Times New Roman" w:hAnsi="Times New Roman" w:cs="Times New Roman"/>
          <w:sz w:val="28"/>
          <w:szCs w:val="28"/>
        </w:rPr>
        <w:t>odorless</w:t>
      </w:r>
      <w:proofErr w:type="spellEnd"/>
      <w:r w:rsidRPr="005C1289">
        <w:rPr>
          <w:rFonts w:ascii="Times New Roman" w:hAnsi="Times New Roman" w:cs="Times New Roman"/>
          <w:sz w:val="28"/>
          <w:szCs w:val="28"/>
        </w:rPr>
        <w:t>", "with a characteristic smell", "with a weak characteristic smell".</w:t>
      </w:r>
    </w:p>
    <w:p w:rsidR="005C1289" w:rsidRPr="005C1289" w:rsidRDefault="005C1289" w:rsidP="005C1289">
      <w:pPr>
        <w:spacing w:after="0" w:line="240" w:lineRule="auto"/>
        <w:jc w:val="both"/>
        <w:rPr>
          <w:rFonts w:ascii="Times New Roman" w:hAnsi="Times New Roman" w:cs="Times New Roman"/>
          <w:sz w:val="28"/>
          <w:szCs w:val="28"/>
        </w:rPr>
      </w:pPr>
      <w:r w:rsidRPr="005C1289">
        <w:rPr>
          <w:rFonts w:ascii="Times New Roman" w:hAnsi="Times New Roman" w:cs="Times New Roman"/>
          <w:sz w:val="28"/>
          <w:szCs w:val="28"/>
        </w:rPr>
        <w:t xml:space="preserve">In the case of highly volatile liquids, 0.5 ml </w:t>
      </w:r>
      <w:proofErr w:type="gramStart"/>
      <w:r w:rsidRPr="005C1289">
        <w:rPr>
          <w:rFonts w:ascii="Times New Roman" w:hAnsi="Times New Roman" w:cs="Times New Roman"/>
          <w:sz w:val="28"/>
          <w:szCs w:val="28"/>
        </w:rPr>
        <w:t>is applied</w:t>
      </w:r>
      <w:proofErr w:type="gramEnd"/>
      <w:r w:rsidRPr="005C1289">
        <w:rPr>
          <w:rFonts w:ascii="Times New Roman" w:hAnsi="Times New Roman" w:cs="Times New Roman"/>
          <w:sz w:val="28"/>
          <w:szCs w:val="28"/>
        </w:rPr>
        <w:t xml:space="preserve"> to filter paper and the </w:t>
      </w:r>
      <w:proofErr w:type="spellStart"/>
      <w:r w:rsidRPr="005C1289">
        <w:rPr>
          <w:rFonts w:ascii="Times New Roman" w:hAnsi="Times New Roman" w:cs="Times New Roman"/>
          <w:sz w:val="28"/>
          <w:szCs w:val="28"/>
        </w:rPr>
        <w:t>odor</w:t>
      </w:r>
      <w:proofErr w:type="spellEnd"/>
      <w:r w:rsidRPr="005C1289">
        <w:rPr>
          <w:rFonts w:ascii="Times New Roman" w:hAnsi="Times New Roman" w:cs="Times New Roman"/>
          <w:sz w:val="28"/>
          <w:szCs w:val="28"/>
        </w:rPr>
        <w:t xml:space="preserve"> is determined immediately after application, unless otherwise indicated in a monograph.</w:t>
      </w:r>
    </w:p>
    <w:p w:rsidR="005C1289" w:rsidRPr="005C1289" w:rsidRDefault="005C1289" w:rsidP="005C1289">
      <w:pPr>
        <w:spacing w:after="0" w:line="240" w:lineRule="auto"/>
        <w:jc w:val="both"/>
        <w:rPr>
          <w:rFonts w:ascii="Times New Roman" w:hAnsi="Times New Roman" w:cs="Times New Roman"/>
          <w:sz w:val="28"/>
          <w:szCs w:val="28"/>
        </w:rPr>
      </w:pPr>
      <w:r w:rsidRPr="005C1289">
        <w:rPr>
          <w:rFonts w:ascii="Times New Roman" w:hAnsi="Times New Roman" w:cs="Times New Roman"/>
          <w:sz w:val="28"/>
          <w:szCs w:val="28"/>
        </w:rPr>
        <w:lastRenderedPageBreak/>
        <w:t>Solubility. To determine the solubility, solvents covering a wide polarity scale (</w:t>
      </w:r>
      <w:proofErr w:type="spellStart"/>
      <w:r w:rsidRPr="005C1289">
        <w:rPr>
          <w:rFonts w:ascii="Times New Roman" w:hAnsi="Times New Roman" w:cs="Times New Roman"/>
          <w:sz w:val="28"/>
          <w:szCs w:val="28"/>
        </w:rPr>
        <w:t>wateralcoholacetonehexane</w:t>
      </w:r>
      <w:proofErr w:type="spellEnd"/>
      <w:r w:rsidRPr="005C1289">
        <w:rPr>
          <w:rFonts w:ascii="Times New Roman" w:hAnsi="Times New Roman" w:cs="Times New Roman"/>
          <w:sz w:val="28"/>
          <w:szCs w:val="28"/>
        </w:rPr>
        <w:t>) are used. To characterize the solubility, use the amount (ml) of the solvent required to dissolve 1 g of the substance</w:t>
      </w:r>
    </w:p>
    <w:p w:rsidR="005C1289" w:rsidRPr="005C1289" w:rsidRDefault="005C1289" w:rsidP="005C1289">
      <w:pPr>
        <w:spacing w:after="0" w:line="240" w:lineRule="auto"/>
        <w:jc w:val="both"/>
        <w:rPr>
          <w:rFonts w:ascii="Times New Roman" w:hAnsi="Times New Roman" w:cs="Times New Roman"/>
          <w:sz w:val="28"/>
          <w:szCs w:val="28"/>
        </w:rPr>
      </w:pPr>
      <w:r w:rsidRPr="005C1289">
        <w:rPr>
          <w:rFonts w:ascii="Times New Roman" w:hAnsi="Times New Roman" w:cs="Times New Roman"/>
          <w:sz w:val="28"/>
          <w:szCs w:val="28"/>
        </w:rPr>
        <w:t xml:space="preserve"> Very easily soluble up to </w:t>
      </w:r>
      <w:proofErr w:type="gramStart"/>
      <w:r w:rsidRPr="005C1289">
        <w:rPr>
          <w:rFonts w:ascii="Times New Roman" w:hAnsi="Times New Roman" w:cs="Times New Roman"/>
          <w:sz w:val="28"/>
          <w:szCs w:val="28"/>
        </w:rPr>
        <w:t>1</w:t>
      </w:r>
      <w:proofErr w:type="gramEnd"/>
      <w:r w:rsidRPr="005C1289">
        <w:rPr>
          <w:rFonts w:ascii="Times New Roman" w:hAnsi="Times New Roman" w:cs="Times New Roman"/>
          <w:sz w:val="28"/>
          <w:szCs w:val="28"/>
        </w:rPr>
        <w:t>;</w:t>
      </w:r>
    </w:p>
    <w:p w:rsidR="005C1289" w:rsidRPr="005C1289" w:rsidRDefault="005C1289" w:rsidP="005C1289">
      <w:pPr>
        <w:spacing w:after="0" w:line="240" w:lineRule="auto"/>
        <w:jc w:val="both"/>
        <w:rPr>
          <w:rFonts w:ascii="Times New Roman" w:hAnsi="Times New Roman" w:cs="Times New Roman"/>
          <w:sz w:val="28"/>
          <w:szCs w:val="28"/>
        </w:rPr>
      </w:pPr>
      <w:r w:rsidRPr="005C1289">
        <w:rPr>
          <w:rFonts w:ascii="Times New Roman" w:hAnsi="Times New Roman" w:cs="Times New Roman"/>
          <w:sz w:val="28"/>
          <w:szCs w:val="28"/>
        </w:rPr>
        <w:t xml:space="preserve"> </w:t>
      </w:r>
      <w:proofErr w:type="gramStart"/>
      <w:r w:rsidRPr="005C1289">
        <w:rPr>
          <w:rFonts w:ascii="Times New Roman" w:hAnsi="Times New Roman" w:cs="Times New Roman"/>
          <w:sz w:val="28"/>
          <w:szCs w:val="28"/>
        </w:rPr>
        <w:t>Easily</w:t>
      </w:r>
      <w:proofErr w:type="gramEnd"/>
      <w:r w:rsidRPr="005C1289">
        <w:rPr>
          <w:rFonts w:ascii="Times New Roman" w:hAnsi="Times New Roman" w:cs="Times New Roman"/>
          <w:sz w:val="28"/>
          <w:szCs w:val="28"/>
        </w:rPr>
        <w:t xml:space="preserve"> soluble from 1 to 10;</w:t>
      </w:r>
    </w:p>
    <w:p w:rsidR="005C1289" w:rsidRPr="005C1289" w:rsidRDefault="005C1289" w:rsidP="005C1289">
      <w:pPr>
        <w:spacing w:after="0" w:line="240" w:lineRule="auto"/>
        <w:jc w:val="both"/>
        <w:rPr>
          <w:rFonts w:ascii="Times New Roman" w:hAnsi="Times New Roman" w:cs="Times New Roman"/>
          <w:sz w:val="28"/>
          <w:szCs w:val="28"/>
        </w:rPr>
      </w:pPr>
      <w:r w:rsidRPr="005C1289">
        <w:rPr>
          <w:rFonts w:ascii="Times New Roman" w:hAnsi="Times New Roman" w:cs="Times New Roman"/>
          <w:sz w:val="28"/>
          <w:szCs w:val="28"/>
        </w:rPr>
        <w:t> Soluble from 10 to 30;</w:t>
      </w:r>
    </w:p>
    <w:p w:rsidR="005C1289" w:rsidRPr="005C1289" w:rsidRDefault="005C1289" w:rsidP="005C1289">
      <w:pPr>
        <w:spacing w:after="0" w:line="240" w:lineRule="auto"/>
        <w:jc w:val="both"/>
        <w:rPr>
          <w:rFonts w:ascii="Times New Roman" w:hAnsi="Times New Roman" w:cs="Times New Roman"/>
          <w:sz w:val="28"/>
          <w:szCs w:val="28"/>
        </w:rPr>
      </w:pPr>
      <w:r w:rsidRPr="005C1289">
        <w:rPr>
          <w:rFonts w:ascii="Times New Roman" w:hAnsi="Times New Roman" w:cs="Times New Roman"/>
          <w:sz w:val="28"/>
          <w:szCs w:val="28"/>
        </w:rPr>
        <w:t xml:space="preserve"> </w:t>
      </w:r>
      <w:proofErr w:type="gramStart"/>
      <w:r w:rsidRPr="005C1289">
        <w:rPr>
          <w:rFonts w:ascii="Times New Roman" w:hAnsi="Times New Roman" w:cs="Times New Roman"/>
          <w:sz w:val="28"/>
          <w:szCs w:val="28"/>
        </w:rPr>
        <w:t>Moderately</w:t>
      </w:r>
      <w:proofErr w:type="gramEnd"/>
      <w:r w:rsidRPr="005C1289">
        <w:rPr>
          <w:rFonts w:ascii="Times New Roman" w:hAnsi="Times New Roman" w:cs="Times New Roman"/>
          <w:sz w:val="28"/>
          <w:szCs w:val="28"/>
        </w:rPr>
        <w:t xml:space="preserve"> soluble from 30 to 100;</w:t>
      </w:r>
    </w:p>
    <w:p w:rsidR="005C1289" w:rsidRPr="005C1289" w:rsidRDefault="005C1289" w:rsidP="005C1289">
      <w:pPr>
        <w:spacing w:after="0" w:line="240" w:lineRule="auto"/>
        <w:jc w:val="both"/>
        <w:rPr>
          <w:rFonts w:ascii="Times New Roman" w:hAnsi="Times New Roman" w:cs="Times New Roman"/>
          <w:sz w:val="28"/>
          <w:szCs w:val="28"/>
        </w:rPr>
      </w:pPr>
      <w:r w:rsidRPr="005C1289">
        <w:rPr>
          <w:rFonts w:ascii="Times New Roman" w:hAnsi="Times New Roman" w:cs="Times New Roman"/>
          <w:sz w:val="28"/>
          <w:szCs w:val="28"/>
        </w:rPr>
        <w:t xml:space="preserve"> </w:t>
      </w:r>
      <w:proofErr w:type="gramStart"/>
      <w:r w:rsidRPr="005C1289">
        <w:rPr>
          <w:rFonts w:ascii="Times New Roman" w:hAnsi="Times New Roman" w:cs="Times New Roman"/>
          <w:sz w:val="28"/>
          <w:szCs w:val="28"/>
        </w:rPr>
        <w:t>Slightly</w:t>
      </w:r>
      <w:proofErr w:type="gramEnd"/>
      <w:r w:rsidRPr="005C1289">
        <w:rPr>
          <w:rFonts w:ascii="Times New Roman" w:hAnsi="Times New Roman" w:cs="Times New Roman"/>
          <w:sz w:val="28"/>
          <w:szCs w:val="28"/>
        </w:rPr>
        <w:t xml:space="preserve"> soluble from 100 to 1000;</w:t>
      </w:r>
    </w:p>
    <w:p w:rsidR="005C1289" w:rsidRPr="005C1289" w:rsidRDefault="005C1289" w:rsidP="005C1289">
      <w:pPr>
        <w:spacing w:after="0" w:line="240" w:lineRule="auto"/>
        <w:jc w:val="both"/>
        <w:rPr>
          <w:rFonts w:ascii="Times New Roman" w:hAnsi="Times New Roman" w:cs="Times New Roman"/>
          <w:sz w:val="28"/>
          <w:szCs w:val="28"/>
        </w:rPr>
      </w:pPr>
      <w:r w:rsidRPr="005C1289">
        <w:rPr>
          <w:rFonts w:ascii="Times New Roman" w:hAnsi="Times New Roman" w:cs="Times New Roman"/>
          <w:sz w:val="28"/>
          <w:szCs w:val="28"/>
        </w:rPr>
        <w:t> Very slightly soluble from 1000 to 10000;</w:t>
      </w:r>
    </w:p>
    <w:p w:rsidR="005C1289" w:rsidRPr="005C1289" w:rsidRDefault="005C1289" w:rsidP="005C1289">
      <w:pPr>
        <w:spacing w:after="0" w:line="240" w:lineRule="auto"/>
        <w:jc w:val="both"/>
        <w:rPr>
          <w:rFonts w:ascii="Times New Roman" w:hAnsi="Times New Roman" w:cs="Times New Roman"/>
          <w:sz w:val="28"/>
          <w:szCs w:val="28"/>
        </w:rPr>
      </w:pPr>
      <w:r w:rsidRPr="005C1289">
        <w:rPr>
          <w:rFonts w:ascii="Times New Roman" w:hAnsi="Times New Roman" w:cs="Times New Roman"/>
          <w:sz w:val="28"/>
          <w:szCs w:val="28"/>
        </w:rPr>
        <w:t xml:space="preserve"> </w:t>
      </w:r>
      <w:proofErr w:type="gramStart"/>
      <w:r w:rsidRPr="005C1289">
        <w:rPr>
          <w:rFonts w:ascii="Times New Roman" w:hAnsi="Times New Roman" w:cs="Times New Roman"/>
          <w:sz w:val="28"/>
          <w:szCs w:val="28"/>
        </w:rPr>
        <w:t>Practically</w:t>
      </w:r>
      <w:proofErr w:type="gramEnd"/>
      <w:r w:rsidRPr="005C1289">
        <w:rPr>
          <w:rFonts w:ascii="Times New Roman" w:hAnsi="Times New Roman" w:cs="Times New Roman"/>
          <w:sz w:val="28"/>
          <w:szCs w:val="28"/>
        </w:rPr>
        <w:t xml:space="preserve"> insoluble over 10,000;</w:t>
      </w:r>
    </w:p>
    <w:p w:rsidR="005C1289" w:rsidRPr="005C1289" w:rsidRDefault="005C1289" w:rsidP="005C1289">
      <w:pPr>
        <w:spacing w:after="0" w:line="240" w:lineRule="auto"/>
        <w:jc w:val="both"/>
        <w:rPr>
          <w:rFonts w:ascii="Times New Roman" w:hAnsi="Times New Roman" w:cs="Times New Roman"/>
          <w:sz w:val="28"/>
          <w:szCs w:val="28"/>
        </w:rPr>
      </w:pPr>
      <w:r w:rsidRPr="005C1289">
        <w:rPr>
          <w:rFonts w:ascii="Times New Roman" w:hAnsi="Times New Roman" w:cs="Times New Roman"/>
          <w:sz w:val="28"/>
          <w:szCs w:val="28"/>
        </w:rPr>
        <w:t xml:space="preserve"> </w:t>
      </w:r>
      <w:proofErr w:type="gramStart"/>
      <w:r w:rsidRPr="005C1289">
        <w:rPr>
          <w:rFonts w:ascii="Times New Roman" w:hAnsi="Times New Roman" w:cs="Times New Roman"/>
          <w:sz w:val="28"/>
          <w:szCs w:val="28"/>
        </w:rPr>
        <w:t>Partially</w:t>
      </w:r>
      <w:proofErr w:type="gramEnd"/>
      <w:r w:rsidRPr="005C1289">
        <w:rPr>
          <w:rFonts w:ascii="Times New Roman" w:hAnsi="Times New Roman" w:cs="Times New Roman"/>
          <w:sz w:val="28"/>
          <w:szCs w:val="28"/>
        </w:rPr>
        <w:t xml:space="preserve"> soluble. The term </w:t>
      </w:r>
      <w:proofErr w:type="gramStart"/>
      <w:r w:rsidRPr="005C1289">
        <w:rPr>
          <w:rFonts w:ascii="Times New Roman" w:hAnsi="Times New Roman" w:cs="Times New Roman"/>
          <w:sz w:val="28"/>
          <w:szCs w:val="28"/>
        </w:rPr>
        <w:t>is used</w:t>
      </w:r>
      <w:proofErr w:type="gramEnd"/>
      <w:r w:rsidRPr="005C1289">
        <w:rPr>
          <w:rFonts w:ascii="Times New Roman" w:hAnsi="Times New Roman" w:cs="Times New Roman"/>
          <w:sz w:val="28"/>
          <w:szCs w:val="28"/>
        </w:rPr>
        <w:t xml:space="preserve"> to characterize mixtures containing both soluble and insoluble components;</w:t>
      </w:r>
    </w:p>
    <w:p w:rsidR="005C1289" w:rsidRPr="005C1289" w:rsidRDefault="005C1289" w:rsidP="005C1289">
      <w:pPr>
        <w:spacing w:after="0" w:line="240" w:lineRule="auto"/>
        <w:jc w:val="both"/>
        <w:rPr>
          <w:rFonts w:ascii="Times New Roman" w:hAnsi="Times New Roman" w:cs="Times New Roman"/>
          <w:sz w:val="28"/>
          <w:szCs w:val="28"/>
        </w:rPr>
      </w:pPr>
      <w:r w:rsidRPr="005C1289">
        <w:rPr>
          <w:rFonts w:ascii="Times New Roman" w:hAnsi="Times New Roman" w:cs="Times New Roman"/>
          <w:sz w:val="28"/>
          <w:szCs w:val="28"/>
        </w:rPr>
        <w:t xml:space="preserve"> Miscible </w:t>
      </w:r>
      <w:proofErr w:type="gramStart"/>
      <w:r w:rsidRPr="005C1289">
        <w:rPr>
          <w:rFonts w:ascii="Times New Roman" w:hAnsi="Times New Roman" w:cs="Times New Roman"/>
          <w:sz w:val="28"/>
          <w:szCs w:val="28"/>
        </w:rPr>
        <w:t>with .</w:t>
      </w:r>
      <w:proofErr w:type="gramEnd"/>
      <w:r w:rsidRPr="005C1289">
        <w:rPr>
          <w:rFonts w:ascii="Times New Roman" w:hAnsi="Times New Roman" w:cs="Times New Roman"/>
          <w:sz w:val="28"/>
          <w:szCs w:val="28"/>
        </w:rPr>
        <w:t xml:space="preserve"> The term </w:t>
      </w:r>
      <w:proofErr w:type="gramStart"/>
      <w:r w:rsidRPr="005C1289">
        <w:rPr>
          <w:rFonts w:ascii="Times New Roman" w:hAnsi="Times New Roman" w:cs="Times New Roman"/>
          <w:sz w:val="28"/>
          <w:szCs w:val="28"/>
        </w:rPr>
        <w:t>is used</w:t>
      </w:r>
      <w:proofErr w:type="gramEnd"/>
      <w:r w:rsidRPr="005C1289">
        <w:rPr>
          <w:rFonts w:ascii="Times New Roman" w:hAnsi="Times New Roman" w:cs="Times New Roman"/>
          <w:sz w:val="28"/>
          <w:szCs w:val="28"/>
        </w:rPr>
        <w:t xml:space="preserve"> to characterize liquids miscible with the specified solvent in all proportions.</w:t>
      </w:r>
    </w:p>
    <w:p w:rsidR="005C1289" w:rsidRDefault="005C1289" w:rsidP="005C1289">
      <w:pPr>
        <w:spacing w:after="0" w:line="240" w:lineRule="auto"/>
        <w:jc w:val="both"/>
        <w:rPr>
          <w:rFonts w:ascii="Times New Roman" w:hAnsi="Times New Roman" w:cs="Times New Roman"/>
          <w:sz w:val="28"/>
          <w:szCs w:val="28"/>
        </w:rPr>
      </w:pPr>
      <w:r w:rsidRPr="005C1289">
        <w:rPr>
          <w:rFonts w:ascii="Times New Roman" w:hAnsi="Times New Roman" w:cs="Times New Roman"/>
          <w:sz w:val="28"/>
          <w:szCs w:val="28"/>
        </w:rPr>
        <w:t xml:space="preserve">To determine the solubility, a weighed portion of the substance </w:t>
      </w:r>
      <w:proofErr w:type="gramStart"/>
      <w:r w:rsidRPr="005C1289">
        <w:rPr>
          <w:rFonts w:ascii="Times New Roman" w:hAnsi="Times New Roman" w:cs="Times New Roman"/>
          <w:sz w:val="28"/>
          <w:szCs w:val="28"/>
        </w:rPr>
        <w:t>is added to a measured amount of the solvent and continuously shaken for 10 minutes at a temperature of 20±5°C.</w:t>
      </w:r>
      <w:proofErr w:type="gramEnd"/>
      <w:r w:rsidRPr="005C1289">
        <w:rPr>
          <w:rFonts w:ascii="Times New Roman" w:hAnsi="Times New Roman" w:cs="Times New Roman"/>
          <w:sz w:val="28"/>
          <w:szCs w:val="28"/>
        </w:rPr>
        <w:t xml:space="preserve"> The sample can be ground beforehand. For slowly dissolving samples requiring more than 10 minutes </w:t>
      </w:r>
      <w:proofErr w:type="gramStart"/>
      <w:r w:rsidRPr="005C1289">
        <w:rPr>
          <w:rFonts w:ascii="Times New Roman" w:hAnsi="Times New Roman" w:cs="Times New Roman"/>
          <w:sz w:val="28"/>
          <w:szCs w:val="28"/>
        </w:rPr>
        <w:t>to dissolve</w:t>
      </w:r>
      <w:proofErr w:type="gramEnd"/>
      <w:r w:rsidRPr="005C1289">
        <w:rPr>
          <w:rFonts w:ascii="Times New Roman" w:hAnsi="Times New Roman" w:cs="Times New Roman"/>
          <w:sz w:val="28"/>
          <w:szCs w:val="28"/>
        </w:rPr>
        <w:t>,</w:t>
      </w:r>
    </w:p>
    <w:p w:rsidR="00535CD1" w:rsidRPr="00535CD1" w:rsidRDefault="00535CD1" w:rsidP="00535CD1">
      <w:pPr>
        <w:spacing w:after="0" w:line="240" w:lineRule="auto"/>
        <w:jc w:val="both"/>
        <w:rPr>
          <w:rFonts w:ascii="Times New Roman" w:hAnsi="Times New Roman" w:cs="Times New Roman"/>
          <w:sz w:val="28"/>
          <w:szCs w:val="28"/>
        </w:rPr>
      </w:pPr>
      <w:proofErr w:type="gramStart"/>
      <w:r w:rsidRPr="00535CD1">
        <w:rPr>
          <w:rFonts w:ascii="Times New Roman" w:hAnsi="Times New Roman" w:cs="Times New Roman"/>
          <w:sz w:val="28"/>
          <w:szCs w:val="28"/>
        </w:rPr>
        <w:t>heating</w:t>
      </w:r>
      <w:proofErr w:type="gramEnd"/>
      <w:r w:rsidRPr="00535CD1">
        <w:rPr>
          <w:rFonts w:ascii="Times New Roman" w:hAnsi="Times New Roman" w:cs="Times New Roman"/>
          <w:sz w:val="28"/>
          <w:szCs w:val="28"/>
        </w:rPr>
        <w:t xml:space="preserve"> in a water bath up to 30 ° C is also allowed; observation is carried out after cooling the solution to a temperature of 20 ± 5 °C and vigorous shaking for 1-2 minutes. A substance </w:t>
      </w:r>
      <w:proofErr w:type="gramStart"/>
      <w:r w:rsidRPr="00535CD1">
        <w:rPr>
          <w:rFonts w:ascii="Times New Roman" w:hAnsi="Times New Roman" w:cs="Times New Roman"/>
          <w:sz w:val="28"/>
          <w:szCs w:val="28"/>
        </w:rPr>
        <w:t>is considered</w:t>
      </w:r>
      <w:proofErr w:type="gramEnd"/>
      <w:r w:rsidRPr="00535CD1">
        <w:rPr>
          <w:rFonts w:ascii="Times New Roman" w:hAnsi="Times New Roman" w:cs="Times New Roman"/>
          <w:sz w:val="28"/>
          <w:szCs w:val="28"/>
        </w:rPr>
        <w:t xml:space="preserve"> dissolved if no particles of the substance are detected in the solution when observed in transmitted light.</w:t>
      </w:r>
    </w:p>
    <w:p w:rsidR="00535CD1" w:rsidRPr="00535CD1" w:rsidRDefault="00535CD1" w:rsidP="00535CD1">
      <w:pPr>
        <w:spacing w:after="0" w:line="240" w:lineRule="auto"/>
        <w:jc w:val="both"/>
        <w:rPr>
          <w:rFonts w:ascii="Times New Roman" w:hAnsi="Times New Roman" w:cs="Times New Roman"/>
          <w:sz w:val="28"/>
          <w:szCs w:val="28"/>
        </w:rPr>
      </w:pPr>
      <w:r w:rsidRPr="00535CD1">
        <w:rPr>
          <w:rFonts w:ascii="Times New Roman" w:hAnsi="Times New Roman" w:cs="Times New Roman"/>
          <w:sz w:val="28"/>
          <w:szCs w:val="28"/>
        </w:rPr>
        <w:t xml:space="preserve">For substances that form turbid solutions upon dissolution, a corresponding indication </w:t>
      </w:r>
      <w:proofErr w:type="gramStart"/>
      <w:r w:rsidRPr="00535CD1">
        <w:rPr>
          <w:rFonts w:ascii="Times New Roman" w:hAnsi="Times New Roman" w:cs="Times New Roman"/>
          <w:sz w:val="28"/>
          <w:szCs w:val="28"/>
        </w:rPr>
        <w:t>should be given</w:t>
      </w:r>
      <w:proofErr w:type="gramEnd"/>
      <w:r w:rsidRPr="00535CD1">
        <w:rPr>
          <w:rFonts w:ascii="Times New Roman" w:hAnsi="Times New Roman" w:cs="Times New Roman"/>
          <w:sz w:val="28"/>
          <w:szCs w:val="28"/>
        </w:rPr>
        <w:t xml:space="preserve"> in a monograph. When a substance </w:t>
      </w:r>
      <w:proofErr w:type="gramStart"/>
      <w:r w:rsidRPr="00535CD1">
        <w:rPr>
          <w:rFonts w:ascii="Times New Roman" w:hAnsi="Times New Roman" w:cs="Times New Roman"/>
          <w:sz w:val="28"/>
          <w:szCs w:val="28"/>
        </w:rPr>
        <w:t>is said</w:t>
      </w:r>
      <w:proofErr w:type="gramEnd"/>
      <w:r w:rsidRPr="00535CD1">
        <w:rPr>
          <w:rFonts w:ascii="Times New Roman" w:hAnsi="Times New Roman" w:cs="Times New Roman"/>
          <w:sz w:val="28"/>
          <w:szCs w:val="28"/>
        </w:rPr>
        <w:t xml:space="preserve"> to be soluble in fatty oils, it is meant to be soluble in any oil belonging to the class of fatty oils.</w:t>
      </w:r>
    </w:p>
    <w:p w:rsidR="00535CD1" w:rsidRPr="00535CD1" w:rsidRDefault="00535CD1" w:rsidP="00535CD1">
      <w:pPr>
        <w:spacing w:after="0" w:line="240" w:lineRule="auto"/>
        <w:jc w:val="both"/>
        <w:rPr>
          <w:rFonts w:ascii="Times New Roman" w:hAnsi="Times New Roman" w:cs="Times New Roman"/>
          <w:sz w:val="28"/>
          <w:szCs w:val="28"/>
        </w:rPr>
      </w:pPr>
      <w:r w:rsidRPr="00535CD1">
        <w:rPr>
          <w:rFonts w:ascii="Times New Roman" w:hAnsi="Times New Roman" w:cs="Times New Roman"/>
          <w:sz w:val="28"/>
          <w:szCs w:val="28"/>
        </w:rPr>
        <w:t xml:space="preserve">Authenticity (identification). To establish the authenticity of a substance, instrumental methods of analysis (most often IR spectroscopy) </w:t>
      </w:r>
      <w:proofErr w:type="gramStart"/>
      <w:r w:rsidRPr="00535CD1">
        <w:rPr>
          <w:rFonts w:ascii="Times New Roman" w:hAnsi="Times New Roman" w:cs="Times New Roman"/>
          <w:sz w:val="28"/>
          <w:szCs w:val="28"/>
        </w:rPr>
        <w:t>are used</w:t>
      </w:r>
      <w:proofErr w:type="gramEnd"/>
      <w:r w:rsidRPr="00535CD1">
        <w:rPr>
          <w:rFonts w:ascii="Times New Roman" w:hAnsi="Times New Roman" w:cs="Times New Roman"/>
          <w:sz w:val="28"/>
          <w:szCs w:val="28"/>
        </w:rPr>
        <w:t xml:space="preserve"> in combination with chemical methods (qualitative reactions to functional groups). Usually, a monograph suggests 3-5 tests to determine authenticity. Some monographs have subsections “First Identification” and “Second Identification”. Usually only the first identification is used.</w:t>
      </w:r>
    </w:p>
    <w:p w:rsidR="00535CD1" w:rsidRPr="00535CD1" w:rsidRDefault="00535CD1" w:rsidP="00535CD1">
      <w:pPr>
        <w:spacing w:after="0" w:line="240" w:lineRule="auto"/>
        <w:jc w:val="both"/>
        <w:rPr>
          <w:rFonts w:ascii="Times New Roman" w:hAnsi="Times New Roman" w:cs="Times New Roman"/>
          <w:sz w:val="28"/>
          <w:szCs w:val="28"/>
        </w:rPr>
      </w:pPr>
      <w:r w:rsidRPr="00535CD1">
        <w:rPr>
          <w:rFonts w:ascii="Times New Roman" w:hAnsi="Times New Roman" w:cs="Times New Roman"/>
          <w:sz w:val="28"/>
          <w:szCs w:val="28"/>
        </w:rPr>
        <w:t xml:space="preserve">Melting temperature. The test </w:t>
      </w:r>
      <w:proofErr w:type="gramStart"/>
      <w:r w:rsidRPr="00535CD1">
        <w:rPr>
          <w:rFonts w:ascii="Times New Roman" w:hAnsi="Times New Roman" w:cs="Times New Roman"/>
          <w:sz w:val="28"/>
          <w:szCs w:val="28"/>
        </w:rPr>
        <w:t>is usually used</w:t>
      </w:r>
      <w:proofErr w:type="gramEnd"/>
      <w:r w:rsidRPr="00535CD1">
        <w:rPr>
          <w:rFonts w:ascii="Times New Roman" w:hAnsi="Times New Roman" w:cs="Times New Roman"/>
          <w:sz w:val="28"/>
          <w:szCs w:val="28"/>
        </w:rPr>
        <w:t xml:space="preserve"> to characterize solids.</w:t>
      </w:r>
    </w:p>
    <w:p w:rsidR="00535CD1" w:rsidRPr="00535CD1" w:rsidRDefault="00535CD1" w:rsidP="00535CD1">
      <w:pPr>
        <w:spacing w:after="0" w:line="240" w:lineRule="auto"/>
        <w:jc w:val="both"/>
        <w:rPr>
          <w:rFonts w:ascii="Times New Roman" w:hAnsi="Times New Roman" w:cs="Times New Roman"/>
          <w:sz w:val="28"/>
          <w:szCs w:val="28"/>
        </w:rPr>
      </w:pPr>
      <w:proofErr w:type="gramStart"/>
      <w:r w:rsidRPr="00535CD1">
        <w:rPr>
          <w:rFonts w:ascii="Times New Roman" w:hAnsi="Times New Roman" w:cs="Times New Roman"/>
          <w:sz w:val="28"/>
          <w:szCs w:val="28"/>
        </w:rPr>
        <w:t>solidification</w:t>
      </w:r>
      <w:proofErr w:type="gramEnd"/>
      <w:r w:rsidRPr="00535CD1">
        <w:rPr>
          <w:rFonts w:ascii="Times New Roman" w:hAnsi="Times New Roman" w:cs="Times New Roman"/>
          <w:sz w:val="28"/>
          <w:szCs w:val="28"/>
        </w:rPr>
        <w:t xml:space="preserve"> temperature; boiling point (distillation temperature limits); density; viscosity; refractive index. These tests </w:t>
      </w:r>
      <w:proofErr w:type="gramStart"/>
      <w:r w:rsidRPr="00535CD1">
        <w:rPr>
          <w:rFonts w:ascii="Times New Roman" w:hAnsi="Times New Roman" w:cs="Times New Roman"/>
          <w:sz w:val="28"/>
          <w:szCs w:val="28"/>
        </w:rPr>
        <w:t>are introduced</w:t>
      </w:r>
      <w:proofErr w:type="gramEnd"/>
      <w:r w:rsidRPr="00535CD1">
        <w:rPr>
          <w:rFonts w:ascii="Times New Roman" w:hAnsi="Times New Roman" w:cs="Times New Roman"/>
          <w:sz w:val="28"/>
          <w:szCs w:val="28"/>
        </w:rPr>
        <w:t xml:space="preserve"> to characterize liquid substances.</w:t>
      </w:r>
    </w:p>
    <w:p w:rsidR="00535CD1" w:rsidRPr="00535CD1" w:rsidRDefault="00535CD1" w:rsidP="00535CD1">
      <w:pPr>
        <w:spacing w:after="0" w:line="240" w:lineRule="auto"/>
        <w:jc w:val="both"/>
        <w:rPr>
          <w:rFonts w:ascii="Times New Roman" w:hAnsi="Times New Roman" w:cs="Times New Roman"/>
          <w:sz w:val="28"/>
          <w:szCs w:val="28"/>
        </w:rPr>
      </w:pPr>
      <w:proofErr w:type="gramStart"/>
      <w:r w:rsidRPr="00535CD1">
        <w:rPr>
          <w:rFonts w:ascii="Times New Roman" w:hAnsi="Times New Roman" w:cs="Times New Roman"/>
          <w:sz w:val="28"/>
          <w:szCs w:val="28"/>
        </w:rPr>
        <w:t>specific</w:t>
      </w:r>
      <w:proofErr w:type="gramEnd"/>
      <w:r w:rsidRPr="00535CD1">
        <w:rPr>
          <w:rFonts w:ascii="Times New Roman" w:hAnsi="Times New Roman" w:cs="Times New Roman"/>
          <w:sz w:val="28"/>
          <w:szCs w:val="28"/>
        </w:rPr>
        <w:t xml:space="preserve"> rotation. Introduced to characterize optically active substances.</w:t>
      </w:r>
    </w:p>
    <w:p w:rsidR="00535CD1" w:rsidRPr="00535CD1" w:rsidRDefault="00535CD1" w:rsidP="00535CD1">
      <w:pPr>
        <w:spacing w:after="0" w:line="240" w:lineRule="auto"/>
        <w:jc w:val="both"/>
        <w:rPr>
          <w:rFonts w:ascii="Times New Roman" w:hAnsi="Times New Roman" w:cs="Times New Roman"/>
          <w:sz w:val="28"/>
          <w:szCs w:val="28"/>
        </w:rPr>
      </w:pPr>
      <w:r w:rsidRPr="00535CD1">
        <w:rPr>
          <w:rFonts w:ascii="Times New Roman" w:hAnsi="Times New Roman" w:cs="Times New Roman"/>
          <w:sz w:val="28"/>
          <w:szCs w:val="28"/>
        </w:rPr>
        <w:t>Specific absorption rate. This indicator is an additional characteristic of the authenticity and purity of the substance.</w:t>
      </w:r>
    </w:p>
    <w:p w:rsidR="00535CD1" w:rsidRPr="00535CD1" w:rsidRDefault="00535CD1" w:rsidP="00535CD1">
      <w:pPr>
        <w:spacing w:after="0" w:line="240" w:lineRule="auto"/>
        <w:jc w:val="both"/>
        <w:rPr>
          <w:rFonts w:ascii="Times New Roman" w:hAnsi="Times New Roman" w:cs="Times New Roman"/>
          <w:sz w:val="28"/>
          <w:szCs w:val="28"/>
        </w:rPr>
      </w:pPr>
      <w:r w:rsidRPr="00535CD1">
        <w:rPr>
          <w:rFonts w:ascii="Times New Roman" w:hAnsi="Times New Roman" w:cs="Times New Roman"/>
          <w:sz w:val="28"/>
          <w:szCs w:val="28"/>
        </w:rPr>
        <w:t xml:space="preserve">Transparency and </w:t>
      </w:r>
      <w:proofErr w:type="spellStart"/>
      <w:r w:rsidRPr="00535CD1">
        <w:rPr>
          <w:rFonts w:ascii="Times New Roman" w:hAnsi="Times New Roman" w:cs="Times New Roman"/>
          <w:sz w:val="28"/>
          <w:szCs w:val="28"/>
        </w:rPr>
        <w:t>color</w:t>
      </w:r>
      <w:proofErr w:type="spellEnd"/>
      <w:r w:rsidRPr="00535CD1">
        <w:rPr>
          <w:rFonts w:ascii="Times New Roman" w:hAnsi="Times New Roman" w:cs="Times New Roman"/>
          <w:sz w:val="28"/>
          <w:szCs w:val="28"/>
        </w:rPr>
        <w:t xml:space="preserve"> of the solution. These tests are mandatory for substances and medicinal products intended for parenteral administration. The tests are especially relevant for drugs that change their </w:t>
      </w:r>
      <w:proofErr w:type="spellStart"/>
      <w:r w:rsidRPr="00535CD1">
        <w:rPr>
          <w:rFonts w:ascii="Times New Roman" w:hAnsi="Times New Roman" w:cs="Times New Roman"/>
          <w:sz w:val="28"/>
          <w:szCs w:val="28"/>
        </w:rPr>
        <w:t>color</w:t>
      </w:r>
      <w:proofErr w:type="spellEnd"/>
      <w:r w:rsidRPr="00535CD1">
        <w:rPr>
          <w:rFonts w:ascii="Times New Roman" w:hAnsi="Times New Roman" w:cs="Times New Roman"/>
          <w:sz w:val="28"/>
          <w:szCs w:val="28"/>
        </w:rPr>
        <w:t xml:space="preserve"> when oxidized by atmospheric oxygen.</w:t>
      </w:r>
    </w:p>
    <w:p w:rsidR="00535CD1" w:rsidRPr="00535CD1" w:rsidRDefault="00535CD1" w:rsidP="00535CD1">
      <w:pPr>
        <w:spacing w:after="0" w:line="240" w:lineRule="auto"/>
        <w:jc w:val="both"/>
        <w:rPr>
          <w:rFonts w:ascii="Times New Roman" w:hAnsi="Times New Roman" w:cs="Times New Roman"/>
          <w:sz w:val="28"/>
          <w:szCs w:val="28"/>
        </w:rPr>
      </w:pPr>
      <w:proofErr w:type="gramStart"/>
      <w:r w:rsidRPr="00535CD1">
        <w:rPr>
          <w:rFonts w:ascii="Times New Roman" w:hAnsi="Times New Roman" w:cs="Times New Roman"/>
          <w:sz w:val="28"/>
          <w:szCs w:val="28"/>
        </w:rPr>
        <w:lastRenderedPageBreak/>
        <w:t>pH</w:t>
      </w:r>
      <w:proofErr w:type="gramEnd"/>
      <w:r w:rsidRPr="00535CD1">
        <w:rPr>
          <w:rFonts w:ascii="Times New Roman" w:hAnsi="Times New Roman" w:cs="Times New Roman"/>
          <w:sz w:val="28"/>
          <w:szCs w:val="28"/>
        </w:rPr>
        <w:t xml:space="preserve"> (acidity or alkalinity). This test uses a potentiometric measurement of the pH value. Permissible in-</w:t>
      </w:r>
    </w:p>
    <w:p w:rsidR="00535CD1" w:rsidRPr="00535CD1" w:rsidRDefault="00535CD1" w:rsidP="00535CD1">
      <w:pPr>
        <w:spacing w:after="0" w:line="240" w:lineRule="auto"/>
        <w:jc w:val="both"/>
        <w:rPr>
          <w:rFonts w:ascii="Times New Roman" w:hAnsi="Times New Roman" w:cs="Times New Roman"/>
          <w:sz w:val="28"/>
          <w:szCs w:val="28"/>
        </w:rPr>
      </w:pPr>
      <w:r w:rsidRPr="00535CD1">
        <w:rPr>
          <w:rFonts w:ascii="Times New Roman" w:hAnsi="Times New Roman" w:cs="Times New Roman"/>
          <w:sz w:val="28"/>
          <w:szCs w:val="28"/>
        </w:rPr>
        <w:t xml:space="preserve"> </w:t>
      </w:r>
    </w:p>
    <w:p w:rsidR="00535CD1" w:rsidRPr="00535CD1" w:rsidRDefault="00535CD1" w:rsidP="00535CD1">
      <w:pPr>
        <w:spacing w:after="0" w:line="240" w:lineRule="auto"/>
        <w:jc w:val="both"/>
        <w:rPr>
          <w:rFonts w:ascii="Times New Roman" w:hAnsi="Times New Roman" w:cs="Times New Roman"/>
          <w:sz w:val="28"/>
          <w:szCs w:val="28"/>
        </w:rPr>
      </w:pPr>
    </w:p>
    <w:p w:rsidR="00535CD1" w:rsidRPr="00535CD1" w:rsidRDefault="00535CD1" w:rsidP="00535CD1">
      <w:pPr>
        <w:spacing w:after="0" w:line="240" w:lineRule="auto"/>
        <w:jc w:val="both"/>
        <w:rPr>
          <w:rFonts w:ascii="Times New Roman" w:hAnsi="Times New Roman" w:cs="Times New Roman"/>
          <w:sz w:val="28"/>
          <w:szCs w:val="28"/>
        </w:rPr>
      </w:pPr>
      <w:proofErr w:type="gramStart"/>
      <w:r w:rsidRPr="00535CD1">
        <w:rPr>
          <w:rFonts w:ascii="Times New Roman" w:hAnsi="Times New Roman" w:cs="Times New Roman"/>
          <w:sz w:val="28"/>
          <w:szCs w:val="28"/>
        </w:rPr>
        <w:t>the</w:t>
      </w:r>
      <w:proofErr w:type="gramEnd"/>
      <w:r w:rsidRPr="00535CD1">
        <w:rPr>
          <w:rFonts w:ascii="Times New Roman" w:hAnsi="Times New Roman" w:cs="Times New Roman"/>
          <w:sz w:val="28"/>
          <w:szCs w:val="28"/>
        </w:rPr>
        <w:t xml:space="preserve"> pH range should generally be no more than 2 (for example, the pH value should be between 5.5 and 7.5). Tests </w:t>
      </w:r>
      <w:proofErr w:type="gramStart"/>
      <w:r w:rsidRPr="00535CD1">
        <w:rPr>
          <w:rFonts w:ascii="Times New Roman" w:hAnsi="Times New Roman" w:cs="Times New Roman"/>
          <w:sz w:val="28"/>
          <w:szCs w:val="28"/>
        </w:rPr>
        <w:t>are carried out</w:t>
      </w:r>
      <w:proofErr w:type="gramEnd"/>
      <w:r w:rsidRPr="00535CD1">
        <w:rPr>
          <w:rFonts w:ascii="Times New Roman" w:hAnsi="Times New Roman" w:cs="Times New Roman"/>
          <w:sz w:val="28"/>
          <w:szCs w:val="28"/>
        </w:rPr>
        <w:t xml:space="preserve"> for substances and medicinal products intended for parenteral administration.</w:t>
      </w:r>
    </w:p>
    <w:p w:rsidR="00535CD1" w:rsidRPr="00535CD1" w:rsidRDefault="00535CD1" w:rsidP="00535CD1">
      <w:pPr>
        <w:spacing w:after="0" w:line="240" w:lineRule="auto"/>
        <w:jc w:val="both"/>
        <w:rPr>
          <w:rFonts w:ascii="Times New Roman" w:hAnsi="Times New Roman" w:cs="Times New Roman"/>
          <w:sz w:val="28"/>
          <w:szCs w:val="28"/>
        </w:rPr>
      </w:pPr>
      <w:proofErr w:type="gramStart"/>
      <w:r w:rsidRPr="00535CD1">
        <w:rPr>
          <w:rFonts w:ascii="Times New Roman" w:hAnsi="Times New Roman" w:cs="Times New Roman"/>
          <w:sz w:val="28"/>
          <w:szCs w:val="28"/>
        </w:rPr>
        <w:t>impurities</w:t>
      </w:r>
      <w:proofErr w:type="gramEnd"/>
      <w:r w:rsidRPr="00535CD1">
        <w:rPr>
          <w:rFonts w:ascii="Times New Roman" w:hAnsi="Times New Roman" w:cs="Times New Roman"/>
          <w:sz w:val="28"/>
          <w:szCs w:val="28"/>
        </w:rPr>
        <w:t xml:space="preserve">. This test provides for the control of degradation products and technological impurities (intermediates and by-products of synthesis), the so-called "co-impurities". </w:t>
      </w:r>
      <w:proofErr w:type="gramStart"/>
      <w:r w:rsidRPr="00535CD1">
        <w:rPr>
          <w:rFonts w:ascii="Times New Roman" w:hAnsi="Times New Roman" w:cs="Times New Roman"/>
          <w:sz w:val="28"/>
          <w:szCs w:val="28"/>
        </w:rPr>
        <w:t>These may be controlled as “characterized impurities” (i.e., those that have previously been recognized by the competent authorities as being characterized; it may also include impurities that are considered to be characterized in other ways, for example, impurities that occur in the form metabolites) and “other detectable impurities” (for example, potential impurities that were not detected in any samples of the substance at the time of development of the monograph or that occur at concentrations less than 0.1%, but the content which may be limited by the tests described in a monograph).</w:t>
      </w:r>
      <w:proofErr w:type="gramEnd"/>
      <w:r w:rsidRPr="00535CD1">
        <w:rPr>
          <w:rFonts w:ascii="Times New Roman" w:hAnsi="Times New Roman" w:cs="Times New Roman"/>
          <w:sz w:val="28"/>
          <w:szCs w:val="28"/>
        </w:rPr>
        <w:t xml:space="preserve"> To determine impurities, various chromatographic methods of analysis are most often used.</w:t>
      </w:r>
    </w:p>
    <w:p w:rsidR="00535CD1" w:rsidRPr="00535CD1" w:rsidRDefault="00535CD1" w:rsidP="00535CD1">
      <w:pPr>
        <w:spacing w:after="0" w:line="240" w:lineRule="auto"/>
        <w:jc w:val="both"/>
        <w:rPr>
          <w:rFonts w:ascii="Times New Roman" w:hAnsi="Times New Roman" w:cs="Times New Roman"/>
          <w:sz w:val="28"/>
          <w:szCs w:val="28"/>
        </w:rPr>
      </w:pPr>
      <w:r w:rsidRPr="00535CD1">
        <w:rPr>
          <w:rFonts w:ascii="Times New Roman" w:hAnsi="Times New Roman" w:cs="Times New Roman"/>
          <w:sz w:val="28"/>
          <w:szCs w:val="28"/>
        </w:rPr>
        <w:t xml:space="preserve">Inorganic anions (chlorides, </w:t>
      </w:r>
      <w:proofErr w:type="spellStart"/>
      <w:r w:rsidRPr="00535CD1">
        <w:rPr>
          <w:rFonts w:ascii="Times New Roman" w:hAnsi="Times New Roman" w:cs="Times New Roman"/>
          <w:sz w:val="28"/>
          <w:szCs w:val="28"/>
        </w:rPr>
        <w:t>sulfates</w:t>
      </w:r>
      <w:proofErr w:type="spellEnd"/>
      <w:r w:rsidRPr="00535CD1">
        <w:rPr>
          <w:rFonts w:ascii="Times New Roman" w:hAnsi="Times New Roman" w:cs="Times New Roman"/>
          <w:sz w:val="28"/>
          <w:szCs w:val="28"/>
        </w:rPr>
        <w:t xml:space="preserve">, etc.). The choice of controlled anions </w:t>
      </w:r>
      <w:proofErr w:type="gramStart"/>
      <w:r w:rsidRPr="00535CD1">
        <w:rPr>
          <w:rFonts w:ascii="Times New Roman" w:hAnsi="Times New Roman" w:cs="Times New Roman"/>
          <w:sz w:val="28"/>
          <w:szCs w:val="28"/>
        </w:rPr>
        <w:t>is determined</w:t>
      </w:r>
      <w:proofErr w:type="gramEnd"/>
      <w:r w:rsidRPr="00535CD1">
        <w:rPr>
          <w:rFonts w:ascii="Times New Roman" w:hAnsi="Times New Roman" w:cs="Times New Roman"/>
          <w:sz w:val="28"/>
          <w:szCs w:val="28"/>
        </w:rPr>
        <w:t xml:space="preserve"> by the technology for obtaining the substance. In this case, controlled anions can be non-toxic (for example, chlorides, </w:t>
      </w:r>
      <w:proofErr w:type="spellStart"/>
      <w:r w:rsidRPr="00535CD1">
        <w:rPr>
          <w:rFonts w:ascii="Times New Roman" w:hAnsi="Times New Roman" w:cs="Times New Roman"/>
          <w:sz w:val="28"/>
          <w:szCs w:val="28"/>
        </w:rPr>
        <w:t>sulfates</w:t>
      </w:r>
      <w:proofErr w:type="spellEnd"/>
      <w:r w:rsidRPr="00535CD1">
        <w:rPr>
          <w:rFonts w:ascii="Times New Roman" w:hAnsi="Times New Roman" w:cs="Times New Roman"/>
          <w:sz w:val="28"/>
          <w:szCs w:val="28"/>
        </w:rPr>
        <w:t>, etc.).</w:t>
      </w:r>
    </w:p>
    <w:p w:rsidR="00535CD1" w:rsidRPr="00535CD1" w:rsidRDefault="00535CD1" w:rsidP="00535CD1">
      <w:pPr>
        <w:spacing w:after="0" w:line="240" w:lineRule="auto"/>
        <w:jc w:val="both"/>
        <w:rPr>
          <w:rFonts w:ascii="Times New Roman" w:hAnsi="Times New Roman" w:cs="Times New Roman"/>
          <w:sz w:val="28"/>
          <w:szCs w:val="28"/>
        </w:rPr>
      </w:pPr>
      <w:r w:rsidRPr="00535CD1">
        <w:rPr>
          <w:rFonts w:ascii="Times New Roman" w:hAnsi="Times New Roman" w:cs="Times New Roman"/>
          <w:sz w:val="28"/>
          <w:szCs w:val="28"/>
        </w:rPr>
        <w:t xml:space="preserve">The control of anions </w:t>
      </w:r>
      <w:proofErr w:type="gramStart"/>
      <w:r w:rsidRPr="00535CD1">
        <w:rPr>
          <w:rFonts w:ascii="Times New Roman" w:hAnsi="Times New Roman" w:cs="Times New Roman"/>
          <w:sz w:val="28"/>
          <w:szCs w:val="28"/>
        </w:rPr>
        <w:t>is not introduced</w:t>
      </w:r>
      <w:proofErr w:type="gramEnd"/>
      <w:r w:rsidRPr="00535CD1">
        <w:rPr>
          <w:rFonts w:ascii="Times New Roman" w:hAnsi="Times New Roman" w:cs="Times New Roman"/>
          <w:sz w:val="28"/>
          <w:szCs w:val="28"/>
        </w:rPr>
        <w:t xml:space="preserve"> if they are part of the substance (on-</w:t>
      </w:r>
    </w:p>
    <w:p w:rsidR="00535CD1" w:rsidRPr="00535CD1" w:rsidRDefault="00535CD1" w:rsidP="00535CD1">
      <w:pPr>
        <w:spacing w:after="0" w:line="240" w:lineRule="auto"/>
        <w:jc w:val="both"/>
        <w:rPr>
          <w:rFonts w:ascii="Times New Roman" w:hAnsi="Times New Roman" w:cs="Times New Roman"/>
          <w:sz w:val="28"/>
          <w:szCs w:val="28"/>
        </w:rPr>
      </w:pPr>
      <w:proofErr w:type="gramStart"/>
      <w:r w:rsidRPr="00535CD1">
        <w:rPr>
          <w:rFonts w:ascii="Times New Roman" w:hAnsi="Times New Roman" w:cs="Times New Roman"/>
          <w:sz w:val="28"/>
          <w:szCs w:val="28"/>
        </w:rPr>
        <w:t>example</w:t>
      </w:r>
      <w:proofErr w:type="gramEnd"/>
      <w:r w:rsidRPr="00535CD1">
        <w:rPr>
          <w:rFonts w:ascii="Times New Roman" w:hAnsi="Times New Roman" w:cs="Times New Roman"/>
          <w:sz w:val="28"/>
          <w:szCs w:val="28"/>
        </w:rPr>
        <w:t xml:space="preserve">, the substance is hydrochloride or </w:t>
      </w:r>
      <w:proofErr w:type="spellStart"/>
      <w:r w:rsidRPr="00535CD1">
        <w:rPr>
          <w:rFonts w:ascii="Times New Roman" w:hAnsi="Times New Roman" w:cs="Times New Roman"/>
          <w:sz w:val="28"/>
          <w:szCs w:val="28"/>
        </w:rPr>
        <w:t>sulfate</w:t>
      </w:r>
      <w:proofErr w:type="spellEnd"/>
      <w:r w:rsidRPr="00535CD1">
        <w:rPr>
          <w:rFonts w:ascii="Times New Roman" w:hAnsi="Times New Roman" w:cs="Times New Roman"/>
          <w:sz w:val="28"/>
          <w:szCs w:val="28"/>
        </w:rPr>
        <w:t>).</w:t>
      </w:r>
    </w:p>
    <w:p w:rsidR="00535CD1" w:rsidRPr="00535CD1" w:rsidRDefault="00535CD1" w:rsidP="00535CD1">
      <w:pPr>
        <w:spacing w:after="0" w:line="240" w:lineRule="auto"/>
        <w:jc w:val="both"/>
        <w:rPr>
          <w:rFonts w:ascii="Times New Roman" w:hAnsi="Times New Roman" w:cs="Times New Roman"/>
          <w:sz w:val="28"/>
          <w:szCs w:val="28"/>
        </w:rPr>
      </w:pPr>
      <w:r w:rsidRPr="00535CD1">
        <w:rPr>
          <w:rFonts w:ascii="Times New Roman" w:hAnsi="Times New Roman" w:cs="Times New Roman"/>
          <w:sz w:val="28"/>
          <w:szCs w:val="28"/>
        </w:rPr>
        <w:t xml:space="preserve">Inorganic cations (iron, copper, etc.). This test </w:t>
      </w:r>
      <w:proofErr w:type="gramStart"/>
      <w:r w:rsidRPr="00535CD1">
        <w:rPr>
          <w:rFonts w:ascii="Times New Roman" w:hAnsi="Times New Roman" w:cs="Times New Roman"/>
          <w:sz w:val="28"/>
          <w:szCs w:val="28"/>
        </w:rPr>
        <w:t>is introduced</w:t>
      </w:r>
      <w:proofErr w:type="gramEnd"/>
      <w:r w:rsidRPr="00535CD1">
        <w:rPr>
          <w:rFonts w:ascii="Times New Roman" w:hAnsi="Times New Roman" w:cs="Times New Roman"/>
          <w:sz w:val="28"/>
          <w:szCs w:val="28"/>
        </w:rPr>
        <w:t xml:space="preserve"> if the control of individual cations is essential to the quality of the substance; their content must be justified.</w:t>
      </w:r>
    </w:p>
    <w:p w:rsidR="00535CD1" w:rsidRPr="00535CD1" w:rsidRDefault="00535CD1" w:rsidP="00535CD1">
      <w:pPr>
        <w:spacing w:after="0" w:line="240" w:lineRule="auto"/>
        <w:jc w:val="both"/>
        <w:rPr>
          <w:rFonts w:ascii="Times New Roman" w:hAnsi="Times New Roman" w:cs="Times New Roman"/>
          <w:sz w:val="28"/>
          <w:szCs w:val="28"/>
        </w:rPr>
      </w:pPr>
      <w:r w:rsidRPr="00535CD1">
        <w:rPr>
          <w:rFonts w:ascii="Times New Roman" w:hAnsi="Times New Roman" w:cs="Times New Roman"/>
          <w:sz w:val="28"/>
          <w:szCs w:val="28"/>
        </w:rPr>
        <w:t xml:space="preserve">Control of cations </w:t>
      </w:r>
      <w:proofErr w:type="gramStart"/>
      <w:r w:rsidRPr="00535CD1">
        <w:rPr>
          <w:rFonts w:ascii="Times New Roman" w:hAnsi="Times New Roman" w:cs="Times New Roman"/>
          <w:sz w:val="28"/>
          <w:szCs w:val="28"/>
        </w:rPr>
        <w:t>is not introduced</w:t>
      </w:r>
      <w:proofErr w:type="gramEnd"/>
      <w:r w:rsidRPr="00535CD1">
        <w:rPr>
          <w:rFonts w:ascii="Times New Roman" w:hAnsi="Times New Roman" w:cs="Times New Roman"/>
          <w:sz w:val="28"/>
          <w:szCs w:val="28"/>
        </w:rPr>
        <w:t xml:space="preserve"> if they are part of the substance (on-</w:t>
      </w:r>
    </w:p>
    <w:p w:rsidR="00535CD1" w:rsidRPr="00535CD1" w:rsidRDefault="00535CD1" w:rsidP="00535CD1">
      <w:pPr>
        <w:spacing w:after="0" w:line="240" w:lineRule="auto"/>
        <w:jc w:val="both"/>
        <w:rPr>
          <w:rFonts w:ascii="Times New Roman" w:hAnsi="Times New Roman" w:cs="Times New Roman"/>
          <w:sz w:val="28"/>
          <w:szCs w:val="28"/>
        </w:rPr>
      </w:pPr>
      <w:proofErr w:type="gramStart"/>
      <w:r w:rsidRPr="00535CD1">
        <w:rPr>
          <w:rFonts w:ascii="Times New Roman" w:hAnsi="Times New Roman" w:cs="Times New Roman"/>
          <w:sz w:val="28"/>
          <w:szCs w:val="28"/>
        </w:rPr>
        <w:t>example</w:t>
      </w:r>
      <w:proofErr w:type="gramEnd"/>
      <w:r w:rsidRPr="00535CD1">
        <w:rPr>
          <w:rFonts w:ascii="Times New Roman" w:hAnsi="Times New Roman" w:cs="Times New Roman"/>
          <w:sz w:val="28"/>
          <w:szCs w:val="28"/>
        </w:rPr>
        <w:t>, iron lactate).</w:t>
      </w:r>
    </w:p>
    <w:p w:rsidR="005C1289" w:rsidRDefault="00535CD1" w:rsidP="00535CD1">
      <w:pPr>
        <w:spacing w:after="0" w:line="240" w:lineRule="auto"/>
        <w:jc w:val="both"/>
        <w:rPr>
          <w:rFonts w:ascii="Times New Roman" w:hAnsi="Times New Roman" w:cs="Times New Roman"/>
          <w:sz w:val="28"/>
          <w:szCs w:val="28"/>
        </w:rPr>
      </w:pPr>
      <w:proofErr w:type="spellStart"/>
      <w:proofErr w:type="gramStart"/>
      <w:r w:rsidRPr="00535CD1">
        <w:rPr>
          <w:rFonts w:ascii="Times New Roman" w:hAnsi="Times New Roman" w:cs="Times New Roman"/>
          <w:sz w:val="28"/>
          <w:szCs w:val="28"/>
        </w:rPr>
        <w:t>sulfate</w:t>
      </w:r>
      <w:proofErr w:type="spellEnd"/>
      <w:proofErr w:type="gramEnd"/>
      <w:r w:rsidRPr="00535CD1">
        <w:rPr>
          <w:rFonts w:ascii="Times New Roman" w:hAnsi="Times New Roman" w:cs="Times New Roman"/>
          <w:sz w:val="28"/>
          <w:szCs w:val="28"/>
        </w:rPr>
        <w:t xml:space="preserve"> ash. </w:t>
      </w:r>
      <w:proofErr w:type="gramStart"/>
      <w:r w:rsidRPr="00535CD1">
        <w:rPr>
          <w:rFonts w:ascii="Times New Roman" w:hAnsi="Times New Roman" w:cs="Times New Roman"/>
          <w:sz w:val="28"/>
          <w:szCs w:val="28"/>
        </w:rPr>
        <w:t>As a general rule</w:t>
      </w:r>
      <w:proofErr w:type="gramEnd"/>
      <w:r w:rsidRPr="00535CD1">
        <w:rPr>
          <w:rFonts w:ascii="Times New Roman" w:hAnsi="Times New Roman" w:cs="Times New Roman"/>
          <w:sz w:val="28"/>
          <w:szCs w:val="28"/>
        </w:rPr>
        <w:t>, sulphated ash should not exceed 0.1%. The absence of this test in a monograph or an increased content of sulphated ash requires an appropriate justification.</w:t>
      </w:r>
    </w:p>
    <w:p w:rsidR="00535CD1" w:rsidRPr="00535CD1" w:rsidRDefault="00535CD1" w:rsidP="00535CD1">
      <w:pPr>
        <w:spacing w:after="0" w:line="240" w:lineRule="auto"/>
        <w:jc w:val="both"/>
        <w:rPr>
          <w:rFonts w:ascii="Times New Roman" w:hAnsi="Times New Roman" w:cs="Times New Roman"/>
          <w:sz w:val="28"/>
          <w:szCs w:val="28"/>
        </w:rPr>
      </w:pPr>
      <w:r w:rsidRPr="00535CD1">
        <w:rPr>
          <w:rFonts w:ascii="Times New Roman" w:hAnsi="Times New Roman" w:cs="Times New Roman"/>
          <w:sz w:val="28"/>
          <w:szCs w:val="28"/>
        </w:rPr>
        <w:t>Heavy metals. The content of heavy metals should not exceed 0.001%, unless otherwise indicated in a monograph.</w:t>
      </w:r>
    </w:p>
    <w:p w:rsidR="00535CD1" w:rsidRPr="00535CD1" w:rsidRDefault="00535CD1" w:rsidP="00535CD1">
      <w:pPr>
        <w:spacing w:after="0" w:line="240" w:lineRule="auto"/>
        <w:jc w:val="both"/>
        <w:rPr>
          <w:rFonts w:ascii="Times New Roman" w:hAnsi="Times New Roman" w:cs="Times New Roman"/>
          <w:sz w:val="28"/>
          <w:szCs w:val="28"/>
        </w:rPr>
      </w:pPr>
      <w:r w:rsidRPr="00535CD1">
        <w:rPr>
          <w:rFonts w:ascii="Times New Roman" w:hAnsi="Times New Roman" w:cs="Times New Roman"/>
          <w:sz w:val="28"/>
          <w:szCs w:val="28"/>
        </w:rPr>
        <w:t xml:space="preserve">Arsenic. This test </w:t>
      </w:r>
      <w:proofErr w:type="gramStart"/>
      <w:r w:rsidRPr="00535CD1">
        <w:rPr>
          <w:rFonts w:ascii="Times New Roman" w:hAnsi="Times New Roman" w:cs="Times New Roman"/>
          <w:sz w:val="28"/>
          <w:szCs w:val="28"/>
        </w:rPr>
        <w:t>is introduced</w:t>
      </w:r>
      <w:proofErr w:type="gramEnd"/>
      <w:r w:rsidRPr="00535CD1">
        <w:rPr>
          <w:rFonts w:ascii="Times New Roman" w:hAnsi="Times New Roman" w:cs="Times New Roman"/>
          <w:sz w:val="28"/>
          <w:szCs w:val="28"/>
        </w:rPr>
        <w:t xml:space="preserve"> when either the feedstock may contain arsenic, for example, for raw materials of natural origin, or it may be contaminated during the preparation of the substance. The arsenic content should generally not exceed 0.0001%.</w:t>
      </w:r>
    </w:p>
    <w:p w:rsidR="00535CD1" w:rsidRPr="00535CD1" w:rsidRDefault="00535CD1" w:rsidP="00535CD1">
      <w:pPr>
        <w:spacing w:after="0" w:line="240" w:lineRule="auto"/>
        <w:jc w:val="both"/>
        <w:rPr>
          <w:rFonts w:ascii="Times New Roman" w:hAnsi="Times New Roman" w:cs="Times New Roman"/>
          <w:sz w:val="28"/>
          <w:szCs w:val="28"/>
        </w:rPr>
      </w:pPr>
      <w:r w:rsidRPr="00535CD1">
        <w:rPr>
          <w:rFonts w:ascii="Times New Roman" w:hAnsi="Times New Roman" w:cs="Times New Roman"/>
          <w:sz w:val="28"/>
          <w:szCs w:val="28"/>
        </w:rPr>
        <w:t>Residual organic solvents. The content of residual amounts of organic solvents used in the preparation of the substance must comply with the requirements of the API.</w:t>
      </w:r>
    </w:p>
    <w:p w:rsidR="00535CD1" w:rsidRPr="00535CD1" w:rsidRDefault="00535CD1" w:rsidP="00535CD1">
      <w:pPr>
        <w:spacing w:after="0" w:line="240" w:lineRule="auto"/>
        <w:jc w:val="both"/>
        <w:rPr>
          <w:rFonts w:ascii="Times New Roman" w:hAnsi="Times New Roman" w:cs="Times New Roman"/>
          <w:sz w:val="28"/>
          <w:szCs w:val="28"/>
        </w:rPr>
      </w:pPr>
      <w:r w:rsidRPr="00535CD1">
        <w:rPr>
          <w:rFonts w:ascii="Times New Roman" w:hAnsi="Times New Roman" w:cs="Times New Roman"/>
          <w:sz w:val="28"/>
          <w:szCs w:val="28"/>
        </w:rPr>
        <w:t>Bacterial endotoxins (</w:t>
      </w:r>
      <w:proofErr w:type="spellStart"/>
      <w:r w:rsidRPr="00535CD1">
        <w:rPr>
          <w:rFonts w:ascii="Times New Roman" w:hAnsi="Times New Roman" w:cs="Times New Roman"/>
          <w:sz w:val="28"/>
          <w:szCs w:val="28"/>
        </w:rPr>
        <w:t>pyrogenicity</w:t>
      </w:r>
      <w:proofErr w:type="spellEnd"/>
      <w:r w:rsidRPr="00535CD1">
        <w:rPr>
          <w:rFonts w:ascii="Times New Roman" w:hAnsi="Times New Roman" w:cs="Times New Roman"/>
          <w:sz w:val="28"/>
          <w:szCs w:val="28"/>
        </w:rPr>
        <w:t xml:space="preserve">). These tests </w:t>
      </w:r>
      <w:proofErr w:type="gramStart"/>
      <w:r w:rsidRPr="00535CD1">
        <w:rPr>
          <w:rFonts w:ascii="Times New Roman" w:hAnsi="Times New Roman" w:cs="Times New Roman"/>
          <w:sz w:val="28"/>
          <w:szCs w:val="28"/>
        </w:rPr>
        <w:t>are carried out</w:t>
      </w:r>
      <w:proofErr w:type="gramEnd"/>
      <w:r w:rsidRPr="00535CD1">
        <w:rPr>
          <w:rFonts w:ascii="Times New Roman" w:hAnsi="Times New Roman" w:cs="Times New Roman"/>
          <w:sz w:val="28"/>
          <w:szCs w:val="28"/>
        </w:rPr>
        <w:t xml:space="preserve"> for substances intended for the preparation of medicinal products for parenteral use. These </w:t>
      </w:r>
      <w:r w:rsidRPr="00535CD1">
        <w:rPr>
          <w:rFonts w:ascii="Times New Roman" w:hAnsi="Times New Roman" w:cs="Times New Roman"/>
          <w:sz w:val="28"/>
          <w:szCs w:val="28"/>
        </w:rPr>
        <w:lastRenderedPageBreak/>
        <w:t xml:space="preserve">substances must pass the test for bacterial endotoxins or </w:t>
      </w:r>
      <w:proofErr w:type="spellStart"/>
      <w:r w:rsidRPr="00535CD1">
        <w:rPr>
          <w:rFonts w:ascii="Times New Roman" w:hAnsi="Times New Roman" w:cs="Times New Roman"/>
          <w:sz w:val="28"/>
          <w:szCs w:val="28"/>
        </w:rPr>
        <w:t>pyrogenicity</w:t>
      </w:r>
      <w:proofErr w:type="spellEnd"/>
      <w:r w:rsidRPr="00535CD1">
        <w:rPr>
          <w:rFonts w:ascii="Times New Roman" w:hAnsi="Times New Roman" w:cs="Times New Roman"/>
          <w:sz w:val="28"/>
          <w:szCs w:val="28"/>
        </w:rPr>
        <w:t xml:space="preserve"> without prior sterilization.</w:t>
      </w:r>
    </w:p>
    <w:p w:rsidR="00535CD1" w:rsidRPr="00535CD1" w:rsidRDefault="00535CD1" w:rsidP="00535CD1">
      <w:pPr>
        <w:spacing w:after="0" w:line="240" w:lineRule="auto"/>
        <w:jc w:val="both"/>
        <w:rPr>
          <w:rFonts w:ascii="Times New Roman" w:hAnsi="Times New Roman" w:cs="Times New Roman"/>
          <w:sz w:val="28"/>
          <w:szCs w:val="28"/>
        </w:rPr>
      </w:pPr>
      <w:r w:rsidRPr="00535CD1">
        <w:rPr>
          <w:rFonts w:ascii="Times New Roman" w:hAnsi="Times New Roman" w:cs="Times New Roman"/>
          <w:sz w:val="28"/>
          <w:szCs w:val="28"/>
        </w:rPr>
        <w:t>Microbiological purity. The microbiological purity of medicinal products must comply with the requirements of the Global Fund of the Republic of Belarus v.1 (Section 2.6</w:t>
      </w:r>
    </w:p>
    <w:p w:rsidR="00535CD1" w:rsidRPr="00535CD1" w:rsidRDefault="00535CD1" w:rsidP="00535CD1">
      <w:pPr>
        <w:spacing w:after="0" w:line="240" w:lineRule="auto"/>
        <w:jc w:val="both"/>
        <w:rPr>
          <w:rFonts w:ascii="Times New Roman" w:hAnsi="Times New Roman" w:cs="Times New Roman"/>
          <w:sz w:val="28"/>
          <w:szCs w:val="28"/>
        </w:rPr>
      </w:pPr>
      <w:r w:rsidRPr="00535CD1">
        <w:rPr>
          <w:rFonts w:ascii="Times New Roman" w:hAnsi="Times New Roman" w:cs="Times New Roman"/>
          <w:sz w:val="28"/>
          <w:szCs w:val="28"/>
        </w:rPr>
        <w:t>"Biological Tests").</w:t>
      </w:r>
    </w:p>
    <w:p w:rsidR="00535CD1" w:rsidRPr="00535CD1" w:rsidRDefault="00535CD1" w:rsidP="00535CD1">
      <w:pPr>
        <w:spacing w:after="0" w:line="240" w:lineRule="auto"/>
        <w:jc w:val="both"/>
        <w:rPr>
          <w:rFonts w:ascii="Times New Roman" w:hAnsi="Times New Roman" w:cs="Times New Roman"/>
          <w:sz w:val="28"/>
          <w:szCs w:val="28"/>
        </w:rPr>
      </w:pPr>
      <w:r w:rsidRPr="00535CD1">
        <w:rPr>
          <w:rFonts w:ascii="Times New Roman" w:hAnsi="Times New Roman" w:cs="Times New Roman"/>
          <w:sz w:val="28"/>
          <w:szCs w:val="28"/>
        </w:rPr>
        <w:t xml:space="preserve">Sterility. This test </w:t>
      </w:r>
      <w:proofErr w:type="gramStart"/>
      <w:r w:rsidRPr="00535CD1">
        <w:rPr>
          <w:rFonts w:ascii="Times New Roman" w:hAnsi="Times New Roman" w:cs="Times New Roman"/>
          <w:sz w:val="28"/>
          <w:szCs w:val="28"/>
        </w:rPr>
        <w:t>is introduced</w:t>
      </w:r>
      <w:proofErr w:type="gramEnd"/>
      <w:r w:rsidRPr="00535CD1">
        <w:rPr>
          <w:rFonts w:ascii="Times New Roman" w:hAnsi="Times New Roman" w:cs="Times New Roman"/>
          <w:sz w:val="28"/>
          <w:szCs w:val="28"/>
        </w:rPr>
        <w:t xml:space="preserve"> for substances used in the manufacture of finished sterile medicinal products that are not subjected to a sterilization procedure.</w:t>
      </w:r>
    </w:p>
    <w:p w:rsidR="00535CD1" w:rsidRPr="00535CD1" w:rsidRDefault="00535CD1" w:rsidP="00535CD1">
      <w:pPr>
        <w:spacing w:after="0" w:line="240" w:lineRule="auto"/>
        <w:jc w:val="both"/>
        <w:rPr>
          <w:rFonts w:ascii="Times New Roman" w:hAnsi="Times New Roman" w:cs="Times New Roman"/>
          <w:sz w:val="28"/>
          <w:szCs w:val="28"/>
        </w:rPr>
      </w:pPr>
      <w:r w:rsidRPr="00535CD1">
        <w:rPr>
          <w:rFonts w:ascii="Times New Roman" w:hAnsi="Times New Roman" w:cs="Times New Roman"/>
          <w:sz w:val="28"/>
          <w:szCs w:val="28"/>
        </w:rPr>
        <w:t xml:space="preserve">Weight loss on drying. The test </w:t>
      </w:r>
      <w:proofErr w:type="gramStart"/>
      <w:r w:rsidRPr="00535CD1">
        <w:rPr>
          <w:rFonts w:ascii="Times New Roman" w:hAnsi="Times New Roman" w:cs="Times New Roman"/>
          <w:sz w:val="28"/>
          <w:szCs w:val="28"/>
        </w:rPr>
        <w:t>is introduced</w:t>
      </w:r>
      <w:proofErr w:type="gramEnd"/>
      <w:r w:rsidRPr="00535CD1">
        <w:rPr>
          <w:rFonts w:ascii="Times New Roman" w:hAnsi="Times New Roman" w:cs="Times New Roman"/>
          <w:sz w:val="28"/>
          <w:szCs w:val="28"/>
        </w:rPr>
        <w:t xml:space="preserve"> to control the content of volatile substances and/or moisture in the substance. The introduction of one of these tests into the FS is generally mandatory. Their absence must be justified. If there are no other indications in a monograph and the substance is not a crystalline hydrate (crystal solvate), the loss in mass on drying or the water content should not exceed 0.5%.</w:t>
      </w:r>
    </w:p>
    <w:p w:rsidR="00535CD1" w:rsidRPr="00535CD1" w:rsidRDefault="00535CD1" w:rsidP="00535CD1">
      <w:pPr>
        <w:spacing w:after="0" w:line="240" w:lineRule="auto"/>
        <w:jc w:val="both"/>
        <w:rPr>
          <w:rFonts w:ascii="Times New Roman" w:hAnsi="Times New Roman" w:cs="Times New Roman"/>
          <w:sz w:val="28"/>
          <w:szCs w:val="28"/>
        </w:rPr>
      </w:pPr>
      <w:r w:rsidRPr="00535CD1">
        <w:rPr>
          <w:rFonts w:ascii="Times New Roman" w:hAnsi="Times New Roman" w:cs="Times New Roman"/>
          <w:sz w:val="28"/>
          <w:szCs w:val="28"/>
        </w:rPr>
        <w:t>If the substance is a crystalline hydrate (crystal solvate), the upper and lower limits are</w:t>
      </w:r>
      <w:r>
        <w:rPr>
          <w:rFonts w:ascii="Times New Roman" w:hAnsi="Times New Roman" w:cs="Times New Roman"/>
          <w:sz w:val="28"/>
          <w:szCs w:val="28"/>
        </w:rPr>
        <w:t xml:space="preserve"> regulated.</w:t>
      </w:r>
    </w:p>
    <w:p w:rsidR="00535CD1" w:rsidRPr="00535CD1" w:rsidRDefault="00535CD1" w:rsidP="00535CD1">
      <w:pPr>
        <w:spacing w:after="0" w:line="240" w:lineRule="auto"/>
        <w:jc w:val="both"/>
        <w:rPr>
          <w:rFonts w:ascii="Times New Roman" w:hAnsi="Times New Roman" w:cs="Times New Roman"/>
          <w:sz w:val="28"/>
          <w:szCs w:val="28"/>
        </w:rPr>
      </w:pPr>
      <w:r w:rsidRPr="00535CD1">
        <w:rPr>
          <w:rFonts w:ascii="Times New Roman" w:hAnsi="Times New Roman" w:cs="Times New Roman"/>
          <w:sz w:val="28"/>
          <w:szCs w:val="28"/>
        </w:rPr>
        <w:t>Quantitation. To quantify the active substance of a substance or dosage form, instrumental and chemical methods of analysis are used.</w:t>
      </w:r>
    </w:p>
    <w:p w:rsidR="00535CD1" w:rsidRPr="00535CD1" w:rsidRDefault="00535CD1" w:rsidP="00535CD1">
      <w:pPr>
        <w:spacing w:after="0" w:line="240" w:lineRule="auto"/>
        <w:jc w:val="both"/>
        <w:rPr>
          <w:rFonts w:ascii="Times New Roman" w:hAnsi="Times New Roman" w:cs="Times New Roman"/>
          <w:sz w:val="28"/>
          <w:szCs w:val="28"/>
        </w:rPr>
      </w:pPr>
      <w:r w:rsidRPr="00535CD1">
        <w:rPr>
          <w:rFonts w:ascii="Times New Roman" w:hAnsi="Times New Roman" w:cs="Times New Roman"/>
          <w:sz w:val="28"/>
          <w:szCs w:val="28"/>
        </w:rPr>
        <w:t>Storage. Packaging and storage conditions should ensure the quality of the medicinal product during the established shelf life.</w:t>
      </w:r>
    </w:p>
    <w:p w:rsidR="00535CD1" w:rsidRDefault="00535CD1" w:rsidP="00535CD1">
      <w:pPr>
        <w:spacing w:after="0" w:line="240" w:lineRule="auto"/>
        <w:jc w:val="both"/>
        <w:rPr>
          <w:rFonts w:ascii="Times New Roman" w:hAnsi="Times New Roman" w:cs="Times New Roman"/>
          <w:sz w:val="28"/>
          <w:szCs w:val="28"/>
        </w:rPr>
      </w:pPr>
      <w:r w:rsidRPr="00535CD1">
        <w:rPr>
          <w:rFonts w:ascii="Times New Roman" w:hAnsi="Times New Roman" w:cs="Times New Roman"/>
          <w:sz w:val="28"/>
          <w:szCs w:val="28"/>
        </w:rPr>
        <w:t>The following is a breakdown of the recommended temperature storage conditions for drugs:</w:t>
      </w: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02"/>
        <w:gridCol w:w="1813"/>
        <w:gridCol w:w="2439"/>
      </w:tblGrid>
      <w:tr w:rsidR="00535CD1" w:rsidTr="00B51FAD">
        <w:trPr>
          <w:trHeight w:val="1084"/>
        </w:trPr>
        <w:tc>
          <w:tcPr>
            <w:tcW w:w="5202" w:type="dxa"/>
          </w:tcPr>
          <w:p w:rsidR="00535CD1" w:rsidRDefault="00535CD1" w:rsidP="00B51FAD">
            <w:pPr>
              <w:pStyle w:val="TableParagraph"/>
              <w:spacing w:before="0"/>
              <w:ind w:left="1049" w:right="-58"/>
              <w:rPr>
                <w:b/>
                <w:sz w:val="28"/>
              </w:rPr>
            </w:pPr>
            <w:r>
              <w:rPr>
                <w:b/>
                <w:spacing w:val="-2"/>
                <w:sz w:val="28"/>
              </w:rPr>
              <w:t>Рекомендуемые</w:t>
            </w:r>
            <w:r>
              <w:rPr>
                <w:b/>
                <w:sz w:val="28"/>
              </w:rPr>
              <w:t xml:space="preserve"> </w:t>
            </w:r>
            <w:r>
              <w:rPr>
                <w:b/>
                <w:spacing w:val="-2"/>
                <w:sz w:val="28"/>
              </w:rPr>
              <w:t>условия</w:t>
            </w:r>
            <w:r>
              <w:rPr>
                <w:b/>
                <w:spacing w:val="1"/>
                <w:sz w:val="28"/>
              </w:rPr>
              <w:t xml:space="preserve"> </w:t>
            </w:r>
            <w:proofErr w:type="spellStart"/>
            <w:r>
              <w:rPr>
                <w:b/>
                <w:spacing w:val="-2"/>
                <w:sz w:val="28"/>
              </w:rPr>
              <w:t>Расшиф</w:t>
            </w:r>
            <w:proofErr w:type="spellEnd"/>
          </w:p>
        </w:tc>
        <w:tc>
          <w:tcPr>
            <w:tcW w:w="4252" w:type="dxa"/>
            <w:gridSpan w:val="2"/>
          </w:tcPr>
          <w:p w:rsidR="00535CD1" w:rsidRDefault="00535CD1" w:rsidP="00B51FAD">
            <w:pPr>
              <w:pStyle w:val="TableParagraph"/>
              <w:spacing w:before="0"/>
              <w:ind w:left="42"/>
              <w:rPr>
                <w:b/>
                <w:sz w:val="28"/>
              </w:rPr>
            </w:pPr>
            <w:proofErr w:type="spellStart"/>
            <w:r>
              <w:rPr>
                <w:b/>
                <w:sz w:val="28"/>
              </w:rPr>
              <w:t>ровка</w:t>
            </w:r>
            <w:proofErr w:type="spellEnd"/>
            <w:r>
              <w:rPr>
                <w:b/>
                <w:spacing w:val="-12"/>
                <w:sz w:val="28"/>
              </w:rPr>
              <w:t xml:space="preserve"> </w:t>
            </w:r>
            <w:r>
              <w:rPr>
                <w:b/>
                <w:spacing w:val="-2"/>
                <w:sz w:val="28"/>
              </w:rPr>
              <w:t>рекомендуемых</w:t>
            </w:r>
          </w:p>
          <w:p w:rsidR="00535CD1" w:rsidRDefault="00535CD1" w:rsidP="00B51FAD">
            <w:pPr>
              <w:pStyle w:val="TableParagraph"/>
              <w:spacing w:before="0"/>
              <w:ind w:left="1595" w:right="1585"/>
              <w:jc w:val="center"/>
              <w:rPr>
                <w:b/>
                <w:sz w:val="28"/>
              </w:rPr>
            </w:pPr>
            <w:r>
              <w:rPr>
                <w:b/>
                <w:spacing w:val="-2"/>
                <w:sz w:val="28"/>
              </w:rPr>
              <w:t>условий</w:t>
            </w:r>
          </w:p>
        </w:tc>
      </w:tr>
      <w:tr w:rsidR="00535CD1" w:rsidTr="00B51FAD">
        <w:trPr>
          <w:trHeight w:val="482"/>
        </w:trPr>
        <w:tc>
          <w:tcPr>
            <w:tcW w:w="5202" w:type="dxa"/>
          </w:tcPr>
          <w:p w:rsidR="00535CD1" w:rsidRPr="00203AC5" w:rsidRDefault="00535CD1" w:rsidP="00B51FAD">
            <w:pPr>
              <w:pStyle w:val="TableParagraph"/>
              <w:spacing w:before="0"/>
              <w:ind w:left="107" w:right="-159"/>
              <w:rPr>
                <w:sz w:val="28"/>
              </w:rPr>
            </w:pPr>
            <w:r w:rsidRPr="00203AC5">
              <w:rPr>
                <w:sz w:val="28"/>
              </w:rPr>
              <w:t>Хранить</w:t>
            </w:r>
            <w:r w:rsidRPr="00203AC5">
              <w:rPr>
                <w:spacing w:val="-10"/>
                <w:sz w:val="28"/>
              </w:rPr>
              <w:t xml:space="preserve"> </w:t>
            </w:r>
            <w:r w:rsidRPr="00203AC5">
              <w:rPr>
                <w:sz w:val="28"/>
              </w:rPr>
              <w:t>при</w:t>
            </w:r>
            <w:r w:rsidRPr="00203AC5">
              <w:rPr>
                <w:spacing w:val="-9"/>
                <w:sz w:val="28"/>
              </w:rPr>
              <w:t xml:space="preserve"> </w:t>
            </w:r>
            <w:r w:rsidRPr="00203AC5">
              <w:rPr>
                <w:sz w:val="28"/>
              </w:rPr>
              <w:t>температуре</w:t>
            </w:r>
            <w:r w:rsidRPr="00203AC5">
              <w:rPr>
                <w:spacing w:val="-10"/>
                <w:sz w:val="28"/>
              </w:rPr>
              <w:t xml:space="preserve"> </w:t>
            </w:r>
            <w:r w:rsidRPr="00203AC5">
              <w:rPr>
                <w:sz w:val="28"/>
              </w:rPr>
              <w:t>не</w:t>
            </w:r>
            <w:r w:rsidRPr="00203AC5">
              <w:rPr>
                <w:spacing w:val="-9"/>
                <w:sz w:val="28"/>
              </w:rPr>
              <w:t xml:space="preserve"> </w:t>
            </w:r>
            <w:r w:rsidRPr="00203AC5">
              <w:rPr>
                <w:sz w:val="28"/>
              </w:rPr>
              <w:t>выше</w:t>
            </w:r>
            <w:r w:rsidRPr="00203AC5">
              <w:rPr>
                <w:spacing w:val="-10"/>
                <w:sz w:val="28"/>
              </w:rPr>
              <w:t xml:space="preserve"> </w:t>
            </w:r>
            <w:r w:rsidRPr="00203AC5">
              <w:rPr>
                <w:sz w:val="28"/>
              </w:rPr>
              <w:t>30</w:t>
            </w:r>
            <w:r w:rsidRPr="00203AC5">
              <w:rPr>
                <w:spacing w:val="-6"/>
                <w:sz w:val="28"/>
              </w:rPr>
              <w:t xml:space="preserve"> </w:t>
            </w:r>
            <w:proofErr w:type="spellStart"/>
            <w:r w:rsidRPr="00203AC5">
              <w:rPr>
                <w:sz w:val="28"/>
                <w:vertAlign w:val="superscript"/>
              </w:rPr>
              <w:t>о</w:t>
            </w:r>
            <w:r w:rsidRPr="00203AC5">
              <w:rPr>
                <w:sz w:val="28"/>
              </w:rPr>
              <w:t>С</w:t>
            </w:r>
            <w:proofErr w:type="spellEnd"/>
            <w:r w:rsidRPr="00203AC5">
              <w:rPr>
                <w:spacing w:val="-10"/>
                <w:sz w:val="28"/>
              </w:rPr>
              <w:t xml:space="preserve"> </w:t>
            </w:r>
            <w:r w:rsidRPr="00203AC5">
              <w:rPr>
                <w:spacing w:val="-5"/>
                <w:sz w:val="28"/>
              </w:rPr>
              <w:t>От</w:t>
            </w:r>
          </w:p>
        </w:tc>
        <w:tc>
          <w:tcPr>
            <w:tcW w:w="1813" w:type="dxa"/>
            <w:tcBorders>
              <w:right w:val="nil"/>
            </w:tcBorders>
          </w:tcPr>
          <w:p w:rsidR="00535CD1" w:rsidRDefault="00535CD1" w:rsidP="00B51FAD">
            <w:pPr>
              <w:pStyle w:val="TableParagraph"/>
              <w:spacing w:before="0"/>
              <w:ind w:right="744"/>
              <w:jc w:val="right"/>
              <w:rPr>
                <w:sz w:val="28"/>
              </w:rPr>
            </w:pPr>
            <w:r>
              <w:rPr>
                <w:sz w:val="28"/>
              </w:rPr>
              <w:t>2</w:t>
            </w:r>
            <w:r>
              <w:rPr>
                <w:spacing w:val="-4"/>
                <w:sz w:val="28"/>
              </w:rPr>
              <w:t xml:space="preserve"> </w:t>
            </w:r>
            <w:r>
              <w:rPr>
                <w:sz w:val="28"/>
              </w:rPr>
              <w:t>до</w:t>
            </w:r>
            <w:r>
              <w:rPr>
                <w:spacing w:val="-4"/>
                <w:sz w:val="28"/>
              </w:rPr>
              <w:t xml:space="preserve"> </w:t>
            </w:r>
            <w:r>
              <w:rPr>
                <w:spacing w:val="-5"/>
                <w:sz w:val="28"/>
              </w:rPr>
              <w:t>30</w:t>
            </w:r>
          </w:p>
        </w:tc>
        <w:tc>
          <w:tcPr>
            <w:tcW w:w="2439" w:type="dxa"/>
            <w:tcBorders>
              <w:left w:val="nil"/>
            </w:tcBorders>
          </w:tcPr>
          <w:p w:rsidR="00535CD1" w:rsidRDefault="00535CD1" w:rsidP="00B51FAD">
            <w:pPr>
              <w:pStyle w:val="TableParagraph"/>
              <w:spacing w:before="0"/>
              <w:ind w:left="828"/>
              <w:rPr>
                <w:sz w:val="28"/>
              </w:rPr>
            </w:pPr>
            <w:r>
              <w:rPr>
                <w:spacing w:val="-5"/>
                <w:sz w:val="18"/>
              </w:rPr>
              <w:t>о</w:t>
            </w:r>
            <w:r>
              <w:rPr>
                <w:spacing w:val="-5"/>
                <w:position w:val="-12"/>
                <w:sz w:val="28"/>
              </w:rPr>
              <w:t>С</w:t>
            </w:r>
          </w:p>
        </w:tc>
      </w:tr>
      <w:tr w:rsidR="00535CD1" w:rsidTr="00B51FAD">
        <w:trPr>
          <w:trHeight w:val="482"/>
        </w:trPr>
        <w:tc>
          <w:tcPr>
            <w:tcW w:w="5202" w:type="dxa"/>
          </w:tcPr>
          <w:p w:rsidR="00535CD1" w:rsidRPr="00203AC5" w:rsidRDefault="00535CD1" w:rsidP="00B51FAD">
            <w:pPr>
              <w:pStyle w:val="TableParagraph"/>
              <w:spacing w:before="0"/>
              <w:ind w:left="107" w:right="-159"/>
              <w:rPr>
                <w:sz w:val="28"/>
              </w:rPr>
            </w:pPr>
            <w:r w:rsidRPr="00203AC5">
              <w:rPr>
                <w:sz w:val="28"/>
              </w:rPr>
              <w:t>Хранить</w:t>
            </w:r>
            <w:r w:rsidRPr="00203AC5">
              <w:rPr>
                <w:spacing w:val="-10"/>
                <w:sz w:val="28"/>
              </w:rPr>
              <w:t xml:space="preserve"> </w:t>
            </w:r>
            <w:r w:rsidRPr="00203AC5">
              <w:rPr>
                <w:sz w:val="28"/>
              </w:rPr>
              <w:t>при</w:t>
            </w:r>
            <w:r w:rsidRPr="00203AC5">
              <w:rPr>
                <w:spacing w:val="-9"/>
                <w:sz w:val="28"/>
              </w:rPr>
              <w:t xml:space="preserve"> </w:t>
            </w:r>
            <w:r w:rsidRPr="00203AC5">
              <w:rPr>
                <w:sz w:val="28"/>
              </w:rPr>
              <w:t>температуре</w:t>
            </w:r>
            <w:r w:rsidRPr="00203AC5">
              <w:rPr>
                <w:spacing w:val="-10"/>
                <w:sz w:val="28"/>
              </w:rPr>
              <w:t xml:space="preserve"> </w:t>
            </w:r>
            <w:r w:rsidRPr="00203AC5">
              <w:rPr>
                <w:sz w:val="28"/>
              </w:rPr>
              <w:t>не</w:t>
            </w:r>
            <w:r w:rsidRPr="00203AC5">
              <w:rPr>
                <w:spacing w:val="-9"/>
                <w:sz w:val="28"/>
              </w:rPr>
              <w:t xml:space="preserve"> </w:t>
            </w:r>
            <w:r w:rsidRPr="00203AC5">
              <w:rPr>
                <w:sz w:val="28"/>
              </w:rPr>
              <w:t>выше</w:t>
            </w:r>
            <w:r w:rsidRPr="00203AC5">
              <w:rPr>
                <w:spacing w:val="-10"/>
                <w:sz w:val="28"/>
              </w:rPr>
              <w:t xml:space="preserve"> </w:t>
            </w:r>
            <w:r w:rsidRPr="00203AC5">
              <w:rPr>
                <w:sz w:val="28"/>
              </w:rPr>
              <w:t>25</w:t>
            </w:r>
            <w:r w:rsidRPr="00203AC5">
              <w:rPr>
                <w:spacing w:val="-6"/>
                <w:sz w:val="28"/>
              </w:rPr>
              <w:t xml:space="preserve"> </w:t>
            </w:r>
            <w:proofErr w:type="spellStart"/>
            <w:r w:rsidRPr="00203AC5">
              <w:rPr>
                <w:sz w:val="28"/>
                <w:vertAlign w:val="superscript"/>
              </w:rPr>
              <w:t>о</w:t>
            </w:r>
            <w:r w:rsidRPr="00203AC5">
              <w:rPr>
                <w:sz w:val="28"/>
              </w:rPr>
              <w:t>С</w:t>
            </w:r>
            <w:proofErr w:type="spellEnd"/>
            <w:r w:rsidRPr="00203AC5">
              <w:rPr>
                <w:spacing w:val="-10"/>
                <w:sz w:val="28"/>
              </w:rPr>
              <w:t xml:space="preserve"> </w:t>
            </w:r>
            <w:r w:rsidRPr="00203AC5">
              <w:rPr>
                <w:spacing w:val="-5"/>
                <w:sz w:val="28"/>
              </w:rPr>
              <w:t>От</w:t>
            </w:r>
          </w:p>
        </w:tc>
        <w:tc>
          <w:tcPr>
            <w:tcW w:w="1813" w:type="dxa"/>
            <w:tcBorders>
              <w:right w:val="nil"/>
            </w:tcBorders>
          </w:tcPr>
          <w:p w:rsidR="00535CD1" w:rsidRDefault="00535CD1" w:rsidP="00B51FAD">
            <w:pPr>
              <w:pStyle w:val="TableParagraph"/>
              <w:spacing w:before="0"/>
              <w:ind w:right="744"/>
              <w:jc w:val="right"/>
              <w:rPr>
                <w:sz w:val="28"/>
              </w:rPr>
            </w:pPr>
            <w:r>
              <w:rPr>
                <w:sz w:val="28"/>
              </w:rPr>
              <w:t>2</w:t>
            </w:r>
            <w:r>
              <w:rPr>
                <w:spacing w:val="-4"/>
                <w:sz w:val="28"/>
              </w:rPr>
              <w:t xml:space="preserve"> </w:t>
            </w:r>
            <w:r>
              <w:rPr>
                <w:sz w:val="28"/>
              </w:rPr>
              <w:t>до</w:t>
            </w:r>
            <w:r>
              <w:rPr>
                <w:spacing w:val="-4"/>
                <w:sz w:val="28"/>
              </w:rPr>
              <w:t xml:space="preserve"> </w:t>
            </w:r>
            <w:r>
              <w:rPr>
                <w:spacing w:val="-5"/>
                <w:sz w:val="28"/>
              </w:rPr>
              <w:t>25</w:t>
            </w:r>
          </w:p>
        </w:tc>
        <w:tc>
          <w:tcPr>
            <w:tcW w:w="2439" w:type="dxa"/>
            <w:tcBorders>
              <w:left w:val="nil"/>
            </w:tcBorders>
          </w:tcPr>
          <w:p w:rsidR="00535CD1" w:rsidRDefault="00535CD1" w:rsidP="00B51FAD">
            <w:pPr>
              <w:pStyle w:val="TableParagraph"/>
              <w:spacing w:before="0"/>
              <w:ind w:left="828"/>
              <w:rPr>
                <w:sz w:val="28"/>
              </w:rPr>
            </w:pPr>
            <w:r>
              <w:rPr>
                <w:spacing w:val="-5"/>
                <w:sz w:val="18"/>
              </w:rPr>
              <w:t>о</w:t>
            </w:r>
            <w:r>
              <w:rPr>
                <w:spacing w:val="-5"/>
                <w:position w:val="-12"/>
                <w:sz w:val="28"/>
              </w:rPr>
              <w:t>С</w:t>
            </w:r>
          </w:p>
        </w:tc>
      </w:tr>
      <w:tr w:rsidR="00535CD1" w:rsidTr="00B51FAD">
        <w:trPr>
          <w:trHeight w:val="482"/>
        </w:trPr>
        <w:tc>
          <w:tcPr>
            <w:tcW w:w="5202" w:type="dxa"/>
          </w:tcPr>
          <w:p w:rsidR="00535CD1" w:rsidRPr="00203AC5" w:rsidRDefault="00535CD1" w:rsidP="00B51FAD">
            <w:pPr>
              <w:pStyle w:val="TableParagraph"/>
              <w:spacing w:before="0"/>
              <w:ind w:left="107" w:right="-159"/>
              <w:rPr>
                <w:sz w:val="28"/>
              </w:rPr>
            </w:pPr>
            <w:r w:rsidRPr="00203AC5">
              <w:rPr>
                <w:sz w:val="28"/>
              </w:rPr>
              <w:t>Хранить</w:t>
            </w:r>
            <w:r w:rsidRPr="00203AC5">
              <w:rPr>
                <w:spacing w:val="-10"/>
                <w:sz w:val="28"/>
              </w:rPr>
              <w:t xml:space="preserve"> </w:t>
            </w:r>
            <w:r w:rsidRPr="00203AC5">
              <w:rPr>
                <w:sz w:val="28"/>
              </w:rPr>
              <w:t>при</w:t>
            </w:r>
            <w:r w:rsidRPr="00203AC5">
              <w:rPr>
                <w:spacing w:val="-9"/>
                <w:sz w:val="28"/>
              </w:rPr>
              <w:t xml:space="preserve"> </w:t>
            </w:r>
            <w:r w:rsidRPr="00203AC5">
              <w:rPr>
                <w:sz w:val="28"/>
              </w:rPr>
              <w:t>температуре</w:t>
            </w:r>
            <w:r w:rsidRPr="00203AC5">
              <w:rPr>
                <w:spacing w:val="-10"/>
                <w:sz w:val="28"/>
              </w:rPr>
              <w:t xml:space="preserve"> </w:t>
            </w:r>
            <w:r w:rsidRPr="00203AC5">
              <w:rPr>
                <w:sz w:val="28"/>
              </w:rPr>
              <w:t>не</w:t>
            </w:r>
            <w:r w:rsidRPr="00203AC5">
              <w:rPr>
                <w:spacing w:val="-9"/>
                <w:sz w:val="28"/>
              </w:rPr>
              <w:t xml:space="preserve"> </w:t>
            </w:r>
            <w:r w:rsidRPr="00203AC5">
              <w:rPr>
                <w:sz w:val="28"/>
              </w:rPr>
              <w:t>выше</w:t>
            </w:r>
            <w:r w:rsidRPr="00203AC5">
              <w:rPr>
                <w:spacing w:val="-10"/>
                <w:sz w:val="28"/>
              </w:rPr>
              <w:t xml:space="preserve"> </w:t>
            </w:r>
            <w:r w:rsidRPr="00203AC5">
              <w:rPr>
                <w:sz w:val="28"/>
              </w:rPr>
              <w:t>15</w:t>
            </w:r>
            <w:r w:rsidRPr="00203AC5">
              <w:rPr>
                <w:spacing w:val="-6"/>
                <w:sz w:val="28"/>
              </w:rPr>
              <w:t xml:space="preserve"> </w:t>
            </w:r>
            <w:proofErr w:type="spellStart"/>
            <w:r w:rsidRPr="00203AC5">
              <w:rPr>
                <w:sz w:val="28"/>
                <w:vertAlign w:val="superscript"/>
              </w:rPr>
              <w:t>о</w:t>
            </w:r>
            <w:r w:rsidRPr="00203AC5">
              <w:rPr>
                <w:sz w:val="28"/>
              </w:rPr>
              <w:t>С</w:t>
            </w:r>
            <w:proofErr w:type="spellEnd"/>
            <w:r w:rsidRPr="00203AC5">
              <w:rPr>
                <w:spacing w:val="-10"/>
                <w:sz w:val="28"/>
              </w:rPr>
              <w:t xml:space="preserve"> </w:t>
            </w:r>
            <w:r w:rsidRPr="00203AC5">
              <w:rPr>
                <w:spacing w:val="-5"/>
                <w:sz w:val="28"/>
              </w:rPr>
              <w:t>От</w:t>
            </w:r>
          </w:p>
        </w:tc>
        <w:tc>
          <w:tcPr>
            <w:tcW w:w="1813" w:type="dxa"/>
            <w:tcBorders>
              <w:right w:val="nil"/>
            </w:tcBorders>
          </w:tcPr>
          <w:p w:rsidR="00535CD1" w:rsidRDefault="00535CD1" w:rsidP="00B51FAD">
            <w:pPr>
              <w:pStyle w:val="TableParagraph"/>
              <w:spacing w:before="0"/>
              <w:ind w:right="744"/>
              <w:jc w:val="right"/>
              <w:rPr>
                <w:sz w:val="28"/>
              </w:rPr>
            </w:pPr>
            <w:r>
              <w:rPr>
                <w:sz w:val="28"/>
              </w:rPr>
              <w:t>2</w:t>
            </w:r>
            <w:r>
              <w:rPr>
                <w:spacing w:val="-4"/>
                <w:sz w:val="28"/>
              </w:rPr>
              <w:t xml:space="preserve"> </w:t>
            </w:r>
            <w:r>
              <w:rPr>
                <w:sz w:val="28"/>
              </w:rPr>
              <w:t>до</w:t>
            </w:r>
            <w:r>
              <w:rPr>
                <w:spacing w:val="-4"/>
                <w:sz w:val="28"/>
              </w:rPr>
              <w:t xml:space="preserve"> </w:t>
            </w:r>
            <w:r>
              <w:rPr>
                <w:spacing w:val="-5"/>
                <w:sz w:val="28"/>
              </w:rPr>
              <w:t>15</w:t>
            </w:r>
          </w:p>
        </w:tc>
        <w:tc>
          <w:tcPr>
            <w:tcW w:w="2439" w:type="dxa"/>
            <w:tcBorders>
              <w:left w:val="nil"/>
            </w:tcBorders>
          </w:tcPr>
          <w:p w:rsidR="00535CD1" w:rsidRDefault="00535CD1" w:rsidP="00B51FAD">
            <w:pPr>
              <w:pStyle w:val="TableParagraph"/>
              <w:spacing w:before="0"/>
              <w:ind w:left="828"/>
              <w:rPr>
                <w:sz w:val="28"/>
              </w:rPr>
            </w:pPr>
            <w:r>
              <w:rPr>
                <w:spacing w:val="-5"/>
                <w:sz w:val="18"/>
              </w:rPr>
              <w:t>о</w:t>
            </w:r>
            <w:r>
              <w:rPr>
                <w:spacing w:val="-5"/>
                <w:position w:val="-12"/>
                <w:sz w:val="28"/>
              </w:rPr>
              <w:t>С</w:t>
            </w:r>
          </w:p>
        </w:tc>
      </w:tr>
      <w:tr w:rsidR="00535CD1" w:rsidTr="00B51FAD">
        <w:trPr>
          <w:trHeight w:val="481"/>
        </w:trPr>
        <w:tc>
          <w:tcPr>
            <w:tcW w:w="5202" w:type="dxa"/>
          </w:tcPr>
          <w:p w:rsidR="00535CD1" w:rsidRPr="00203AC5" w:rsidRDefault="00535CD1" w:rsidP="00B51FAD">
            <w:pPr>
              <w:pStyle w:val="TableParagraph"/>
              <w:spacing w:before="0"/>
              <w:ind w:left="107" w:right="-29"/>
              <w:rPr>
                <w:sz w:val="28"/>
              </w:rPr>
            </w:pPr>
            <w:r w:rsidRPr="00203AC5">
              <w:rPr>
                <w:sz w:val="28"/>
              </w:rPr>
              <w:t>Хранить</w:t>
            </w:r>
            <w:r w:rsidRPr="00203AC5">
              <w:rPr>
                <w:spacing w:val="-10"/>
                <w:sz w:val="28"/>
              </w:rPr>
              <w:t xml:space="preserve"> </w:t>
            </w:r>
            <w:r w:rsidRPr="00203AC5">
              <w:rPr>
                <w:sz w:val="28"/>
              </w:rPr>
              <w:t>при</w:t>
            </w:r>
            <w:r w:rsidRPr="00203AC5">
              <w:rPr>
                <w:spacing w:val="-9"/>
                <w:sz w:val="28"/>
              </w:rPr>
              <w:t xml:space="preserve"> </w:t>
            </w:r>
            <w:r w:rsidRPr="00203AC5">
              <w:rPr>
                <w:sz w:val="28"/>
              </w:rPr>
              <w:t>температуре</w:t>
            </w:r>
            <w:r w:rsidRPr="00203AC5">
              <w:rPr>
                <w:spacing w:val="-9"/>
                <w:sz w:val="28"/>
              </w:rPr>
              <w:t xml:space="preserve"> </w:t>
            </w:r>
            <w:r w:rsidRPr="00203AC5">
              <w:rPr>
                <w:sz w:val="28"/>
              </w:rPr>
              <w:t>не</w:t>
            </w:r>
            <w:r w:rsidRPr="00203AC5">
              <w:rPr>
                <w:spacing w:val="-9"/>
                <w:sz w:val="28"/>
              </w:rPr>
              <w:t xml:space="preserve"> </w:t>
            </w:r>
            <w:r w:rsidRPr="00203AC5">
              <w:rPr>
                <w:sz w:val="28"/>
              </w:rPr>
              <w:t>выше</w:t>
            </w:r>
            <w:r w:rsidRPr="00203AC5">
              <w:rPr>
                <w:spacing w:val="-10"/>
                <w:sz w:val="28"/>
              </w:rPr>
              <w:t xml:space="preserve"> </w:t>
            </w:r>
            <w:r w:rsidRPr="00203AC5">
              <w:rPr>
                <w:sz w:val="28"/>
              </w:rPr>
              <w:t>8</w:t>
            </w:r>
            <w:r w:rsidRPr="00203AC5">
              <w:rPr>
                <w:spacing w:val="-6"/>
                <w:sz w:val="28"/>
              </w:rPr>
              <w:t xml:space="preserve"> </w:t>
            </w:r>
            <w:proofErr w:type="spellStart"/>
            <w:r w:rsidRPr="00203AC5">
              <w:rPr>
                <w:sz w:val="28"/>
                <w:vertAlign w:val="superscript"/>
              </w:rPr>
              <w:t>о</w:t>
            </w:r>
            <w:r w:rsidRPr="00203AC5">
              <w:rPr>
                <w:sz w:val="28"/>
              </w:rPr>
              <w:t>С</w:t>
            </w:r>
            <w:proofErr w:type="spellEnd"/>
            <w:r w:rsidRPr="00203AC5">
              <w:rPr>
                <w:spacing w:val="-9"/>
                <w:sz w:val="28"/>
              </w:rPr>
              <w:t xml:space="preserve"> </w:t>
            </w:r>
            <w:r w:rsidRPr="00203AC5">
              <w:rPr>
                <w:spacing w:val="-5"/>
                <w:sz w:val="28"/>
              </w:rPr>
              <w:t>От</w:t>
            </w:r>
          </w:p>
        </w:tc>
        <w:tc>
          <w:tcPr>
            <w:tcW w:w="1813" w:type="dxa"/>
            <w:tcBorders>
              <w:right w:val="nil"/>
            </w:tcBorders>
          </w:tcPr>
          <w:p w:rsidR="00535CD1" w:rsidRDefault="00535CD1" w:rsidP="00B51FAD">
            <w:pPr>
              <w:pStyle w:val="TableParagraph"/>
              <w:spacing w:before="0"/>
              <w:ind w:left="76"/>
              <w:rPr>
                <w:sz w:val="28"/>
              </w:rPr>
            </w:pPr>
            <w:r>
              <w:rPr>
                <w:sz w:val="28"/>
              </w:rPr>
              <w:t>2</w:t>
            </w:r>
            <w:r>
              <w:rPr>
                <w:spacing w:val="-4"/>
                <w:sz w:val="28"/>
              </w:rPr>
              <w:t xml:space="preserve"> </w:t>
            </w:r>
            <w:r>
              <w:rPr>
                <w:sz w:val="28"/>
              </w:rPr>
              <w:t>до</w:t>
            </w:r>
            <w:r>
              <w:rPr>
                <w:spacing w:val="-4"/>
                <w:sz w:val="28"/>
              </w:rPr>
              <w:t xml:space="preserve"> </w:t>
            </w:r>
            <w:r>
              <w:rPr>
                <w:spacing w:val="-10"/>
                <w:sz w:val="28"/>
              </w:rPr>
              <w:t>8</w:t>
            </w:r>
          </w:p>
        </w:tc>
        <w:tc>
          <w:tcPr>
            <w:tcW w:w="2439" w:type="dxa"/>
            <w:tcBorders>
              <w:left w:val="nil"/>
            </w:tcBorders>
          </w:tcPr>
          <w:p w:rsidR="00535CD1" w:rsidRDefault="00535CD1" w:rsidP="00B51FAD">
            <w:pPr>
              <w:pStyle w:val="TableParagraph"/>
              <w:spacing w:before="0"/>
              <w:ind w:left="757"/>
              <w:rPr>
                <w:sz w:val="28"/>
              </w:rPr>
            </w:pPr>
            <w:r>
              <w:rPr>
                <w:spacing w:val="-5"/>
                <w:sz w:val="18"/>
              </w:rPr>
              <w:t>о</w:t>
            </w:r>
            <w:r>
              <w:rPr>
                <w:spacing w:val="-5"/>
                <w:position w:val="-12"/>
                <w:sz w:val="28"/>
              </w:rPr>
              <w:t>С</w:t>
            </w:r>
          </w:p>
        </w:tc>
      </w:tr>
      <w:tr w:rsidR="00535CD1" w:rsidTr="00B51FAD">
        <w:trPr>
          <w:trHeight w:val="483"/>
        </w:trPr>
        <w:tc>
          <w:tcPr>
            <w:tcW w:w="5202" w:type="dxa"/>
          </w:tcPr>
          <w:p w:rsidR="00535CD1" w:rsidRPr="00203AC5" w:rsidRDefault="00535CD1" w:rsidP="00B51FAD">
            <w:pPr>
              <w:pStyle w:val="TableParagraph"/>
              <w:spacing w:before="0"/>
              <w:ind w:left="107"/>
              <w:rPr>
                <w:sz w:val="28"/>
              </w:rPr>
            </w:pPr>
            <w:r w:rsidRPr="00203AC5">
              <w:rPr>
                <w:sz w:val="28"/>
              </w:rPr>
              <w:t>Хранить</w:t>
            </w:r>
            <w:r w:rsidRPr="00203AC5">
              <w:rPr>
                <w:spacing w:val="-10"/>
                <w:sz w:val="28"/>
              </w:rPr>
              <w:t xml:space="preserve"> </w:t>
            </w:r>
            <w:r w:rsidRPr="00203AC5">
              <w:rPr>
                <w:sz w:val="28"/>
              </w:rPr>
              <w:t>при</w:t>
            </w:r>
            <w:r w:rsidRPr="00203AC5">
              <w:rPr>
                <w:spacing w:val="-9"/>
                <w:sz w:val="28"/>
              </w:rPr>
              <w:t xml:space="preserve"> </w:t>
            </w:r>
            <w:r w:rsidRPr="00203AC5">
              <w:rPr>
                <w:sz w:val="28"/>
              </w:rPr>
              <w:t>температуре</w:t>
            </w:r>
            <w:r w:rsidRPr="00203AC5">
              <w:rPr>
                <w:spacing w:val="-9"/>
                <w:sz w:val="28"/>
              </w:rPr>
              <w:t xml:space="preserve"> </w:t>
            </w:r>
            <w:r w:rsidRPr="00203AC5">
              <w:rPr>
                <w:sz w:val="28"/>
              </w:rPr>
              <w:t>не</w:t>
            </w:r>
            <w:r w:rsidRPr="00203AC5">
              <w:rPr>
                <w:spacing w:val="-9"/>
                <w:sz w:val="28"/>
              </w:rPr>
              <w:t xml:space="preserve"> </w:t>
            </w:r>
            <w:r w:rsidRPr="00203AC5">
              <w:rPr>
                <w:sz w:val="28"/>
              </w:rPr>
              <w:t>ниже</w:t>
            </w:r>
            <w:r w:rsidRPr="00203AC5">
              <w:rPr>
                <w:spacing w:val="-9"/>
                <w:sz w:val="28"/>
              </w:rPr>
              <w:t xml:space="preserve"> </w:t>
            </w:r>
            <w:r w:rsidRPr="00203AC5">
              <w:rPr>
                <w:sz w:val="28"/>
              </w:rPr>
              <w:t>8</w:t>
            </w:r>
            <w:r w:rsidRPr="00203AC5">
              <w:rPr>
                <w:spacing w:val="-7"/>
                <w:sz w:val="28"/>
              </w:rPr>
              <w:t xml:space="preserve"> </w:t>
            </w:r>
            <w:proofErr w:type="spellStart"/>
            <w:r w:rsidRPr="00203AC5">
              <w:rPr>
                <w:sz w:val="28"/>
                <w:vertAlign w:val="superscript"/>
              </w:rPr>
              <w:t>о</w:t>
            </w:r>
            <w:r w:rsidRPr="00203AC5">
              <w:rPr>
                <w:sz w:val="28"/>
              </w:rPr>
              <w:t>С</w:t>
            </w:r>
            <w:proofErr w:type="spellEnd"/>
            <w:r w:rsidRPr="00203AC5">
              <w:rPr>
                <w:spacing w:val="-9"/>
                <w:sz w:val="28"/>
              </w:rPr>
              <w:t xml:space="preserve"> </w:t>
            </w:r>
            <w:r w:rsidRPr="00203AC5">
              <w:rPr>
                <w:spacing w:val="-5"/>
                <w:sz w:val="28"/>
              </w:rPr>
              <w:t>От</w:t>
            </w:r>
          </w:p>
        </w:tc>
        <w:tc>
          <w:tcPr>
            <w:tcW w:w="1813" w:type="dxa"/>
            <w:tcBorders>
              <w:right w:val="nil"/>
            </w:tcBorders>
          </w:tcPr>
          <w:p w:rsidR="00535CD1" w:rsidRDefault="00535CD1" w:rsidP="00B51FAD">
            <w:pPr>
              <w:pStyle w:val="TableParagraph"/>
              <w:spacing w:before="0"/>
              <w:ind w:left="33"/>
              <w:rPr>
                <w:sz w:val="28"/>
              </w:rPr>
            </w:pPr>
            <w:r>
              <w:rPr>
                <w:sz w:val="28"/>
              </w:rPr>
              <w:t>8</w:t>
            </w:r>
            <w:r>
              <w:rPr>
                <w:spacing w:val="-4"/>
                <w:sz w:val="28"/>
              </w:rPr>
              <w:t xml:space="preserve"> </w:t>
            </w:r>
            <w:r>
              <w:rPr>
                <w:sz w:val="28"/>
              </w:rPr>
              <w:t>до</w:t>
            </w:r>
            <w:r>
              <w:rPr>
                <w:spacing w:val="-4"/>
                <w:sz w:val="28"/>
              </w:rPr>
              <w:t xml:space="preserve"> </w:t>
            </w:r>
            <w:r>
              <w:rPr>
                <w:spacing w:val="-5"/>
                <w:sz w:val="28"/>
              </w:rPr>
              <w:t>25</w:t>
            </w:r>
          </w:p>
        </w:tc>
        <w:tc>
          <w:tcPr>
            <w:tcW w:w="2439" w:type="dxa"/>
            <w:tcBorders>
              <w:left w:val="nil"/>
            </w:tcBorders>
          </w:tcPr>
          <w:p w:rsidR="00535CD1" w:rsidRDefault="00535CD1" w:rsidP="00B51FAD">
            <w:pPr>
              <w:pStyle w:val="TableParagraph"/>
              <w:spacing w:before="0"/>
              <w:ind w:left="828"/>
              <w:rPr>
                <w:sz w:val="28"/>
              </w:rPr>
            </w:pPr>
            <w:r>
              <w:rPr>
                <w:spacing w:val="-5"/>
                <w:sz w:val="18"/>
              </w:rPr>
              <w:t>о</w:t>
            </w:r>
            <w:r>
              <w:rPr>
                <w:spacing w:val="-5"/>
                <w:position w:val="-12"/>
                <w:sz w:val="28"/>
              </w:rPr>
              <w:t>С</w:t>
            </w:r>
          </w:p>
        </w:tc>
      </w:tr>
    </w:tbl>
    <w:p w:rsidR="00535CD1" w:rsidRDefault="00535CD1" w:rsidP="00535CD1">
      <w:pPr>
        <w:spacing w:after="0" w:line="240" w:lineRule="auto"/>
        <w:jc w:val="both"/>
        <w:rPr>
          <w:rFonts w:ascii="Times New Roman" w:hAnsi="Times New Roman" w:cs="Times New Roman"/>
          <w:sz w:val="28"/>
          <w:szCs w:val="28"/>
        </w:rPr>
      </w:pPr>
    </w:p>
    <w:p w:rsidR="00535CD1" w:rsidRDefault="007D0D69" w:rsidP="00535CD1">
      <w:pPr>
        <w:spacing w:after="0" w:line="240" w:lineRule="auto"/>
        <w:jc w:val="both"/>
        <w:rPr>
          <w:rFonts w:ascii="Times New Roman" w:hAnsi="Times New Roman" w:cs="Times New Roman"/>
          <w:sz w:val="28"/>
          <w:szCs w:val="28"/>
        </w:rPr>
      </w:pPr>
      <w:r w:rsidRPr="007D0D69">
        <w:rPr>
          <w:rFonts w:ascii="Times New Roman" w:hAnsi="Times New Roman" w:cs="Times New Roman"/>
          <w:sz w:val="28"/>
          <w:szCs w:val="28"/>
        </w:rPr>
        <w:t xml:space="preserve">Marking. </w:t>
      </w:r>
      <w:proofErr w:type="gramStart"/>
      <w:r w:rsidRPr="007D0D69">
        <w:rPr>
          <w:rFonts w:ascii="Times New Roman" w:hAnsi="Times New Roman" w:cs="Times New Roman"/>
          <w:sz w:val="28"/>
          <w:szCs w:val="28"/>
        </w:rPr>
        <w:t>Marking is regulated by the competent authorized body with the publication of the relevant regulatory legal act</w:t>
      </w:r>
      <w:proofErr w:type="gramEnd"/>
      <w:r w:rsidRPr="007D0D69">
        <w:rPr>
          <w:rFonts w:ascii="Times New Roman" w:hAnsi="Times New Roman" w:cs="Times New Roman"/>
          <w:sz w:val="28"/>
          <w:szCs w:val="28"/>
        </w:rPr>
        <w:t xml:space="preserve">. Thus, the information in the "Marking" section does not claim to be complete. It is oriented primarily </w:t>
      </w:r>
      <w:proofErr w:type="gramStart"/>
      <w:r w:rsidRPr="007D0D69">
        <w:rPr>
          <w:rFonts w:ascii="Times New Roman" w:hAnsi="Times New Roman" w:cs="Times New Roman"/>
          <w:sz w:val="28"/>
          <w:szCs w:val="28"/>
        </w:rPr>
        <w:t>to</w:t>
      </w:r>
      <w:proofErr w:type="gramEnd"/>
      <w:r w:rsidRPr="007D0D69">
        <w:rPr>
          <w:rFonts w:ascii="Times New Roman" w:hAnsi="Times New Roman" w:cs="Times New Roman"/>
          <w:sz w:val="28"/>
          <w:szCs w:val="28"/>
        </w:rPr>
        <w:t xml:space="preserve"> </w:t>
      </w:r>
      <w:proofErr w:type="spellStart"/>
      <w:r w:rsidRPr="007D0D69">
        <w:rPr>
          <w:rFonts w:ascii="Times New Roman" w:hAnsi="Times New Roman" w:cs="Times New Roman"/>
          <w:sz w:val="28"/>
          <w:szCs w:val="28"/>
        </w:rPr>
        <w:t>pharmacopoeial</w:t>
      </w:r>
      <w:proofErr w:type="spellEnd"/>
      <w:r w:rsidRPr="007D0D69">
        <w:rPr>
          <w:rFonts w:ascii="Times New Roman" w:hAnsi="Times New Roman" w:cs="Times New Roman"/>
          <w:sz w:val="28"/>
          <w:szCs w:val="28"/>
        </w:rPr>
        <w:t xml:space="preserve"> purposes, and only those provisions are mandatory that are necessary to confirm the conformity of the product to the article. All other information is advisory in nature. In cases where the term “label” </w:t>
      </w:r>
      <w:proofErr w:type="gramStart"/>
      <w:r w:rsidRPr="007D0D69">
        <w:rPr>
          <w:rFonts w:ascii="Times New Roman" w:hAnsi="Times New Roman" w:cs="Times New Roman"/>
          <w:sz w:val="28"/>
          <w:szCs w:val="28"/>
        </w:rPr>
        <w:t>is used</w:t>
      </w:r>
      <w:proofErr w:type="gramEnd"/>
      <w:r w:rsidRPr="007D0D69">
        <w:rPr>
          <w:rFonts w:ascii="Times New Roman" w:hAnsi="Times New Roman" w:cs="Times New Roman"/>
          <w:sz w:val="28"/>
          <w:szCs w:val="28"/>
        </w:rPr>
        <w:t xml:space="preserve"> in the Pharmacopoeia, the relevant information may be placed on the container, on the package or in the insert, depending on the decision of the competent authority.</w:t>
      </w:r>
    </w:p>
    <w:p w:rsidR="007D0D69" w:rsidRPr="002B4083" w:rsidRDefault="007D0D69" w:rsidP="00535CD1">
      <w:pPr>
        <w:spacing w:after="0" w:line="240" w:lineRule="auto"/>
        <w:jc w:val="both"/>
        <w:rPr>
          <w:rFonts w:ascii="Times New Roman" w:hAnsi="Times New Roman" w:cs="Times New Roman"/>
          <w:sz w:val="28"/>
          <w:szCs w:val="28"/>
        </w:rPr>
      </w:pPr>
      <w:bookmarkStart w:id="0" w:name="_GoBack"/>
      <w:bookmarkEnd w:id="0"/>
    </w:p>
    <w:sectPr w:rsidR="007D0D69" w:rsidRPr="002B40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6A0"/>
    <w:rsid w:val="000513B3"/>
    <w:rsid w:val="001C091A"/>
    <w:rsid w:val="00296B0F"/>
    <w:rsid w:val="002B4083"/>
    <w:rsid w:val="003A26A0"/>
    <w:rsid w:val="00535CD1"/>
    <w:rsid w:val="005C1289"/>
    <w:rsid w:val="0078263B"/>
    <w:rsid w:val="007D0D69"/>
    <w:rsid w:val="00B12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66BF42-87E9-4A68-8DD2-36241125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35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35CD1"/>
    <w:pPr>
      <w:widowControl w:val="0"/>
      <w:autoSpaceDE w:val="0"/>
      <w:autoSpaceDN w:val="0"/>
      <w:spacing w:before="116" w:after="0" w:line="240" w:lineRule="auto"/>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2026</Words>
  <Characters>11554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Nigar</dc:creator>
  <cp:keywords/>
  <dc:description/>
  <cp:lastModifiedBy>Nigar</cp:lastModifiedBy>
  <cp:revision>2</cp:revision>
  <dcterms:created xsi:type="dcterms:W3CDTF">2023-04-18T10:07:00Z</dcterms:created>
  <dcterms:modified xsi:type="dcterms:W3CDTF">2023-04-18T10:13:00Z</dcterms:modified>
</cp:coreProperties>
</file>